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8D2B" w14:textId="29BCB302" w:rsidR="00851B6E" w:rsidRPr="00942EDA" w:rsidRDefault="001A5812" w:rsidP="00946B18">
      <w:pPr>
        <w:spacing w:before="120" w:after="120" w:line="240" w:lineRule="auto"/>
        <w:ind w:left="1440" w:hanging="1440"/>
        <w:jc w:val="both"/>
        <w:rPr>
          <w:rFonts w:ascii="Times New Roman" w:hAnsi="Times New Roman" w:cs="Times New Roman"/>
          <w:b/>
          <w:sz w:val="24"/>
          <w:szCs w:val="24"/>
          <w:lang w:val="en-GB"/>
        </w:rPr>
      </w:pPr>
      <w:r w:rsidRPr="00942EDA">
        <w:rPr>
          <w:rFonts w:ascii="Times New Roman" w:hAnsi="Times New Roman" w:cs="Times New Roman"/>
          <w:b/>
          <w:sz w:val="24"/>
          <w:szCs w:val="24"/>
          <w:lang w:val="en-GB"/>
        </w:rPr>
        <w:t>AMP323</w:t>
      </w:r>
      <w:r w:rsidRPr="00942EDA">
        <w:rPr>
          <w:rFonts w:ascii="Times New Roman" w:hAnsi="Times New Roman" w:cs="Times New Roman"/>
          <w:b/>
          <w:sz w:val="24"/>
          <w:szCs w:val="24"/>
          <w:lang w:val="en-GB"/>
        </w:rPr>
        <w:tab/>
        <w:t xml:space="preserve">SPENT FUEL DRY STORAGE CONCRETE STRUCTURES </w:t>
      </w:r>
      <w:r w:rsidR="000A6EF9" w:rsidRPr="00942EDA">
        <w:rPr>
          <w:rFonts w:ascii="Times New Roman" w:hAnsi="Times New Roman" w:cs="Times New Roman"/>
          <w:b/>
          <w:sz w:val="24"/>
          <w:szCs w:val="24"/>
          <w:lang w:val="en-GB"/>
        </w:rPr>
        <w:t>(VERSION 202</w:t>
      </w:r>
      <w:r w:rsidR="00EC43D5" w:rsidRPr="00942EDA">
        <w:rPr>
          <w:rFonts w:ascii="Times New Roman" w:hAnsi="Times New Roman" w:cs="Times New Roman"/>
          <w:b/>
          <w:sz w:val="24"/>
          <w:szCs w:val="24"/>
          <w:lang w:val="en-GB"/>
        </w:rPr>
        <w:t>3</w:t>
      </w:r>
      <w:r w:rsidR="000A6EF9" w:rsidRPr="00942EDA">
        <w:rPr>
          <w:rFonts w:ascii="Times New Roman" w:hAnsi="Times New Roman" w:cs="Times New Roman"/>
          <w:b/>
          <w:sz w:val="24"/>
          <w:szCs w:val="24"/>
          <w:lang w:val="en-GB"/>
        </w:rPr>
        <w:t>)</w:t>
      </w:r>
    </w:p>
    <w:p w14:paraId="7555E3CB" w14:textId="77777777" w:rsidR="00946B18" w:rsidRDefault="00946B18" w:rsidP="009978AD">
      <w:pPr>
        <w:pStyle w:val="Default"/>
        <w:spacing w:before="120" w:after="120"/>
        <w:jc w:val="both"/>
        <w:rPr>
          <w:rFonts w:ascii="Times New Roman" w:hAnsi="Times New Roman" w:cs="Times New Roman"/>
          <w:b/>
          <w:bCs/>
          <w:lang w:val="en-GB"/>
        </w:rPr>
      </w:pPr>
    </w:p>
    <w:p w14:paraId="157C58A1" w14:textId="5477070A" w:rsidR="00851B6E" w:rsidRPr="00942EDA" w:rsidRDefault="00851B6E" w:rsidP="009978AD">
      <w:pPr>
        <w:pStyle w:val="Default"/>
        <w:spacing w:before="120" w:after="120"/>
        <w:jc w:val="both"/>
        <w:rPr>
          <w:rFonts w:ascii="Times New Roman" w:hAnsi="Times New Roman" w:cs="Times New Roman"/>
          <w:b/>
          <w:bCs/>
          <w:lang w:val="en-GB"/>
        </w:rPr>
      </w:pPr>
      <w:r w:rsidRPr="00942EDA">
        <w:rPr>
          <w:rFonts w:ascii="Times New Roman" w:hAnsi="Times New Roman" w:cs="Times New Roman"/>
          <w:b/>
          <w:bCs/>
          <w:lang w:val="en-GB"/>
        </w:rPr>
        <w:t>Programme Description</w:t>
      </w:r>
    </w:p>
    <w:p w14:paraId="5E60E031" w14:textId="77777777" w:rsidR="009362B8" w:rsidRPr="00942EDA" w:rsidRDefault="00851B6E"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bCs/>
          <w:lang w:val="en-GB"/>
        </w:rPr>
        <w:t>This ageing management programme</w:t>
      </w:r>
      <w:r w:rsidRPr="00942EDA">
        <w:rPr>
          <w:rFonts w:ascii="Times New Roman" w:hAnsi="Times New Roman" w:cs="Times New Roman"/>
          <w:color w:val="auto"/>
          <w:lang w:val="en-GB"/>
        </w:rPr>
        <w:t xml:space="preserve"> provides guidance for in-service inspection of structures related to </w:t>
      </w:r>
      <w:r w:rsidR="0045064B" w:rsidRPr="00942EDA">
        <w:rPr>
          <w:rFonts w:ascii="Times New Roman" w:hAnsi="Times New Roman" w:cs="Times New Roman"/>
          <w:color w:val="auto"/>
          <w:lang w:val="en-GB"/>
        </w:rPr>
        <w:t>spent fuel</w:t>
      </w:r>
      <w:r w:rsidR="00107902" w:rsidRPr="00942EDA">
        <w:rPr>
          <w:rFonts w:ascii="Times New Roman" w:hAnsi="Times New Roman" w:cs="Times New Roman"/>
          <w:color w:val="auto"/>
          <w:lang w:val="en-GB"/>
        </w:rPr>
        <w:t xml:space="preserve"> dry</w:t>
      </w:r>
      <w:r w:rsidR="0045064B" w:rsidRPr="00942EDA">
        <w:rPr>
          <w:rFonts w:ascii="Times New Roman" w:hAnsi="Times New Roman" w:cs="Times New Roman"/>
          <w:color w:val="auto"/>
          <w:lang w:val="en-GB"/>
        </w:rPr>
        <w:t xml:space="preserve"> storage </w:t>
      </w:r>
      <w:r w:rsidR="009362B8" w:rsidRPr="00942EDA">
        <w:rPr>
          <w:rFonts w:ascii="Times New Roman" w:hAnsi="Times New Roman" w:cs="Times New Roman"/>
          <w:color w:val="auto"/>
          <w:lang w:val="en-GB"/>
        </w:rPr>
        <w:t xml:space="preserve">concrete </w:t>
      </w:r>
      <w:r w:rsidR="0045064B" w:rsidRPr="00942EDA">
        <w:rPr>
          <w:rFonts w:ascii="Times New Roman" w:hAnsi="Times New Roman" w:cs="Times New Roman"/>
          <w:color w:val="auto"/>
          <w:lang w:val="en-GB"/>
        </w:rPr>
        <w:t>structures o</w:t>
      </w:r>
      <w:r w:rsidRPr="00942EDA">
        <w:rPr>
          <w:rFonts w:ascii="Times New Roman" w:hAnsi="Times New Roman" w:cs="Times New Roman"/>
          <w:lang w:val="en-GB"/>
        </w:rPr>
        <w:t>f nuclear power plants (NPPs)</w:t>
      </w:r>
      <w:r w:rsidR="00E81CA4" w:rsidRPr="00942EDA">
        <w:rPr>
          <w:rFonts w:ascii="Times New Roman" w:hAnsi="Times New Roman" w:cs="Times New Roman"/>
          <w:lang w:val="en-GB"/>
        </w:rPr>
        <w:t xml:space="preserve"> to ensure there is no loss of intended function during operation. </w:t>
      </w:r>
    </w:p>
    <w:p w14:paraId="4585B17C" w14:textId="5EB734CE" w:rsidR="00350CBD" w:rsidRPr="00942EDA" w:rsidRDefault="00350CBD"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 xml:space="preserve">The original design life of these structures is normally between 30 and 50 years. However, </w:t>
      </w:r>
      <w:proofErr w:type="gramStart"/>
      <w:r w:rsidRPr="00942EDA">
        <w:rPr>
          <w:rFonts w:ascii="Times New Roman" w:hAnsi="Times New Roman" w:cs="Times New Roman"/>
          <w:lang w:val="en-GB"/>
        </w:rPr>
        <w:t>economic</w:t>
      </w:r>
      <w:proofErr w:type="gramEnd"/>
      <w:r w:rsidRPr="00942EDA">
        <w:rPr>
          <w:rFonts w:ascii="Times New Roman" w:hAnsi="Times New Roman" w:cs="Times New Roman"/>
          <w:lang w:val="en-GB"/>
        </w:rPr>
        <w:t xml:space="preserve"> and environmental benefits were recognised from continuing use of the structures beyond their design life. Thus, to obtain and trend data to assure continuous integrity of the structures and to be able to make prognosis for future performance, an Ageing Management Program</w:t>
      </w:r>
      <w:r w:rsidR="00BC09D3">
        <w:rPr>
          <w:rFonts w:ascii="Times New Roman" w:hAnsi="Times New Roman" w:cs="Times New Roman"/>
          <w:lang w:val="en-GB"/>
        </w:rPr>
        <w:t>me</w:t>
      </w:r>
      <w:r w:rsidRPr="00942EDA">
        <w:rPr>
          <w:rFonts w:ascii="Times New Roman" w:hAnsi="Times New Roman" w:cs="Times New Roman"/>
          <w:lang w:val="en-GB"/>
        </w:rPr>
        <w:t xml:space="preserve"> (AMP) was prepared and implemented for these structures.</w:t>
      </w:r>
    </w:p>
    <w:p w14:paraId="34F6BB4A" w14:textId="16F824A9" w:rsidR="00350CBD" w:rsidRPr="00942EDA" w:rsidRDefault="00350CBD"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Reinforced concrete is considered a durable material under favourable environmental conditions. However,</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it is recognised that in addition to well-known Ageing Related Degradation Mechanisms (ARDMs)</w:t>
      </w:r>
      <w:r w:rsidR="00CD2BA7" w:rsidRPr="00942EDA">
        <w:rPr>
          <w:rFonts w:ascii="Times New Roman" w:hAnsi="Times New Roman" w:cs="Times New Roman"/>
          <w:lang w:val="en-GB"/>
        </w:rPr>
        <w:t xml:space="preserve"> re</w:t>
      </w:r>
      <w:r w:rsidRPr="00942EDA">
        <w:rPr>
          <w:rFonts w:ascii="Times New Roman" w:hAnsi="Times New Roman" w:cs="Times New Roman"/>
          <w:lang w:val="en-GB"/>
        </w:rPr>
        <w:t>sulting</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from the exposure environment, concrete of the waste storage structures may be</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subjected</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to</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degradation</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mechanisms induced by the stored waste (</w:t>
      </w:r>
      <w:r w:rsidR="00D81AE5" w:rsidRPr="00942EDA">
        <w:rPr>
          <w:rFonts w:ascii="Times New Roman" w:hAnsi="Times New Roman" w:cs="Times New Roman"/>
          <w:lang w:val="en-GB"/>
        </w:rPr>
        <w:t>e.g.,</w:t>
      </w:r>
      <w:r w:rsidRPr="00942EDA">
        <w:rPr>
          <w:rFonts w:ascii="Times New Roman" w:hAnsi="Times New Roman" w:cs="Times New Roman"/>
          <w:lang w:val="en-GB"/>
        </w:rPr>
        <w:t xml:space="preserve"> elevated temperature and</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temperature</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gradient,</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irradiation,</w:t>
      </w:r>
      <w:r w:rsidR="009D3BF7" w:rsidRPr="00942EDA">
        <w:rPr>
          <w:rFonts w:ascii="Times New Roman" w:hAnsi="Times New Roman" w:cs="Times New Roman"/>
          <w:lang w:val="en-GB"/>
        </w:rPr>
        <w:t xml:space="preserve"> </w:t>
      </w:r>
      <w:r w:rsidRPr="00942EDA">
        <w:rPr>
          <w:rFonts w:ascii="Times New Roman" w:hAnsi="Times New Roman" w:cs="Times New Roman"/>
          <w:lang w:val="en-GB"/>
        </w:rPr>
        <w:t>etc.). It is also recognised that since concrete provides</w:t>
      </w:r>
      <w:r w:rsidR="00E85E69" w:rsidRPr="00942EDA">
        <w:rPr>
          <w:rFonts w:ascii="Times New Roman" w:hAnsi="Times New Roman" w:cs="Times New Roman"/>
          <w:lang w:val="en-GB"/>
        </w:rPr>
        <w:t xml:space="preserve"> radiation shielding and act as </w:t>
      </w:r>
      <w:r w:rsidRPr="00942EDA">
        <w:rPr>
          <w:rFonts w:ascii="Times New Roman" w:hAnsi="Times New Roman" w:cs="Times New Roman"/>
          <w:lang w:val="en-GB"/>
        </w:rPr>
        <w:t>one of the</w:t>
      </w:r>
      <w:r w:rsidR="00E85E69" w:rsidRPr="00942EDA">
        <w:rPr>
          <w:rFonts w:ascii="Times New Roman" w:hAnsi="Times New Roman" w:cs="Times New Roman"/>
          <w:lang w:val="en-GB"/>
        </w:rPr>
        <w:t xml:space="preserve"> </w:t>
      </w:r>
      <w:r w:rsidRPr="00942EDA">
        <w:rPr>
          <w:rFonts w:ascii="Times New Roman" w:hAnsi="Times New Roman" w:cs="Times New Roman"/>
          <w:lang w:val="en-GB"/>
        </w:rPr>
        <w:t>barriers for radioactive waste, its durability</w:t>
      </w:r>
      <w:r w:rsidR="00013D29" w:rsidRPr="00942EDA">
        <w:rPr>
          <w:rFonts w:ascii="Times New Roman" w:hAnsi="Times New Roman" w:cs="Times New Roman"/>
          <w:lang w:val="en-GB"/>
        </w:rPr>
        <w:t xml:space="preserve"> </w:t>
      </w:r>
      <w:r w:rsidRPr="00942EDA">
        <w:rPr>
          <w:rFonts w:ascii="Times New Roman" w:hAnsi="Times New Roman" w:cs="Times New Roman"/>
          <w:lang w:val="en-GB"/>
        </w:rPr>
        <w:t xml:space="preserve">requirements are greater than those for conventional structures. Ageing of nuclear waste storage </w:t>
      </w:r>
      <w:r w:rsidR="00E35560" w:rsidRPr="00942EDA">
        <w:rPr>
          <w:rFonts w:ascii="Times New Roman" w:hAnsi="Times New Roman" w:cs="Times New Roman"/>
          <w:lang w:val="en-GB"/>
        </w:rPr>
        <w:t xml:space="preserve">concrete </w:t>
      </w:r>
      <w:r w:rsidRPr="00942EDA">
        <w:rPr>
          <w:rFonts w:ascii="Times New Roman" w:hAnsi="Times New Roman" w:cs="Times New Roman"/>
          <w:lang w:val="en-GB"/>
        </w:rPr>
        <w:t>structures,</w:t>
      </w:r>
      <w:r w:rsidR="00BB4DC0" w:rsidRPr="00942EDA">
        <w:rPr>
          <w:rFonts w:ascii="Times New Roman" w:hAnsi="Times New Roman" w:cs="Times New Roman"/>
          <w:lang w:val="en-GB"/>
        </w:rPr>
        <w:t xml:space="preserve"> </w:t>
      </w:r>
      <w:r w:rsidRPr="00942EDA">
        <w:rPr>
          <w:rFonts w:ascii="Times New Roman" w:hAnsi="Times New Roman" w:cs="Times New Roman"/>
          <w:lang w:val="en-GB"/>
        </w:rPr>
        <w:t>if</w:t>
      </w:r>
      <w:r w:rsidR="00BB4DC0" w:rsidRPr="00942EDA">
        <w:rPr>
          <w:rFonts w:ascii="Times New Roman" w:hAnsi="Times New Roman" w:cs="Times New Roman"/>
          <w:lang w:val="en-GB"/>
        </w:rPr>
        <w:t xml:space="preserve"> </w:t>
      </w:r>
      <w:r w:rsidRPr="00942EDA">
        <w:rPr>
          <w:rFonts w:ascii="Times New Roman" w:hAnsi="Times New Roman" w:cs="Times New Roman"/>
          <w:lang w:val="en-GB"/>
        </w:rPr>
        <w:t>unmitigated, may reduce the integrity and functional capability margins provided in the design.</w:t>
      </w:r>
    </w:p>
    <w:p w14:paraId="787BC62B" w14:textId="3EC53263" w:rsidR="0008611B" w:rsidRPr="00942EDA" w:rsidRDefault="0008611B"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 xml:space="preserve">Ageing management is performed by means of periodic </w:t>
      </w:r>
      <w:r w:rsidR="00581D74" w:rsidRPr="00942EDA">
        <w:rPr>
          <w:rFonts w:ascii="Times New Roman" w:hAnsi="Times New Roman" w:cs="Times New Roman"/>
          <w:lang w:val="en-GB"/>
        </w:rPr>
        <w:t xml:space="preserve">visual </w:t>
      </w:r>
      <w:r w:rsidRPr="00942EDA">
        <w:rPr>
          <w:rFonts w:ascii="Times New Roman" w:hAnsi="Times New Roman" w:cs="Times New Roman"/>
          <w:lang w:val="en-GB"/>
        </w:rPr>
        <w:t>examinations, which provide an effective ageing management tool</w:t>
      </w:r>
      <w:r w:rsidR="00710521" w:rsidRPr="00942EDA">
        <w:rPr>
          <w:rFonts w:ascii="Times New Roman" w:hAnsi="Times New Roman" w:cs="Times New Roman"/>
          <w:lang w:val="en-GB"/>
        </w:rPr>
        <w:t xml:space="preserve"> in accordance with AMP318</w:t>
      </w:r>
      <w:r w:rsidR="00581D74" w:rsidRPr="00942EDA">
        <w:rPr>
          <w:rFonts w:ascii="Times New Roman" w:hAnsi="Times New Roman" w:cs="Times New Roman"/>
          <w:lang w:val="en-GB"/>
        </w:rPr>
        <w:t xml:space="preserve">. Visual examinations are supplemented </w:t>
      </w:r>
      <w:r w:rsidR="00AE765B">
        <w:rPr>
          <w:rFonts w:ascii="Times New Roman" w:hAnsi="Times New Roman" w:cs="Times New Roman"/>
          <w:lang w:val="en-GB"/>
        </w:rPr>
        <w:t>using</w:t>
      </w:r>
      <w:r w:rsidR="00581D74" w:rsidRPr="00942EDA">
        <w:rPr>
          <w:rFonts w:ascii="Times New Roman" w:hAnsi="Times New Roman" w:cs="Times New Roman"/>
          <w:lang w:val="en-GB"/>
        </w:rPr>
        <w:t xml:space="preserve"> non-destructive tests (NDT) on in-situ structures as well as laboratory tests and analyses on samples.</w:t>
      </w:r>
      <w:r w:rsidR="00317669" w:rsidRPr="00942EDA">
        <w:rPr>
          <w:rFonts w:ascii="Times New Roman" w:hAnsi="Times New Roman" w:cs="Times New Roman"/>
          <w:lang w:val="en-GB"/>
        </w:rPr>
        <w:t xml:space="preserve"> Radiation surveys may also be performed to monitor radiation shielding effectiveness, as applicable.</w:t>
      </w:r>
      <w:r w:rsidR="00581D74" w:rsidRPr="00942EDA">
        <w:rPr>
          <w:rFonts w:ascii="Times New Roman" w:hAnsi="Times New Roman" w:cs="Times New Roman"/>
          <w:lang w:val="en-GB"/>
        </w:rPr>
        <w:t xml:space="preserve"> Test involving </w:t>
      </w:r>
      <w:proofErr w:type="spellStart"/>
      <w:r w:rsidR="00581D74" w:rsidRPr="00942EDA">
        <w:rPr>
          <w:rFonts w:ascii="Times New Roman" w:hAnsi="Times New Roman" w:cs="Times New Roman"/>
          <w:lang w:val="en-GB"/>
        </w:rPr>
        <w:t>analyzing</w:t>
      </w:r>
      <w:proofErr w:type="spellEnd"/>
      <w:r w:rsidR="00581D74" w:rsidRPr="00942EDA">
        <w:rPr>
          <w:rFonts w:ascii="Times New Roman" w:hAnsi="Times New Roman" w:cs="Times New Roman"/>
          <w:lang w:val="en-GB"/>
        </w:rPr>
        <w:t xml:space="preserve"> the chemical composition of groundwater are also conducted using similar procedures as covered in AMP3</w:t>
      </w:r>
      <w:r w:rsidR="006F2B6E" w:rsidRPr="00942EDA">
        <w:rPr>
          <w:rFonts w:ascii="Times New Roman" w:hAnsi="Times New Roman" w:cs="Times New Roman"/>
          <w:lang w:val="en-GB"/>
        </w:rPr>
        <w:t>18</w:t>
      </w:r>
      <w:r w:rsidR="00581D74" w:rsidRPr="00942EDA">
        <w:rPr>
          <w:rFonts w:ascii="Times New Roman" w:hAnsi="Times New Roman" w:cs="Times New Roman"/>
          <w:lang w:val="en-GB"/>
        </w:rPr>
        <w:t xml:space="preserve"> and AMP307. Ground movement and settlement is also monitored in accordance with AMP317. All activities are performed by suitably qualified and experienced personnel. Upon detecting </w:t>
      </w:r>
      <w:r w:rsidRPr="00942EDA">
        <w:rPr>
          <w:rFonts w:ascii="Times New Roman" w:hAnsi="Times New Roman" w:cs="Times New Roman"/>
          <w:lang w:val="en-GB"/>
        </w:rPr>
        <w:t>deterioration</w:t>
      </w:r>
      <w:r w:rsidR="00581D74" w:rsidRPr="00942EDA">
        <w:rPr>
          <w:rFonts w:ascii="Times New Roman" w:hAnsi="Times New Roman" w:cs="Times New Roman"/>
          <w:lang w:val="en-GB"/>
        </w:rPr>
        <w:t xml:space="preserve">, </w:t>
      </w:r>
      <w:r w:rsidRPr="00942EDA">
        <w:rPr>
          <w:rFonts w:ascii="Times New Roman" w:hAnsi="Times New Roman" w:cs="Times New Roman"/>
          <w:lang w:val="en-GB"/>
        </w:rPr>
        <w:t>maintenance activit</w:t>
      </w:r>
      <w:r w:rsidR="005D5DFA">
        <w:rPr>
          <w:rFonts w:ascii="Times New Roman" w:hAnsi="Times New Roman" w:cs="Times New Roman"/>
          <w:lang w:val="en-GB"/>
        </w:rPr>
        <w:t>ies</w:t>
      </w:r>
      <w:r w:rsidRPr="00942EDA">
        <w:rPr>
          <w:rFonts w:ascii="Times New Roman" w:hAnsi="Times New Roman" w:cs="Times New Roman"/>
          <w:lang w:val="en-GB"/>
        </w:rPr>
        <w:t xml:space="preserve"> can be implemented to prevent it from becoming a defect that would require major repair.</w:t>
      </w:r>
    </w:p>
    <w:p w14:paraId="3F6E59FB" w14:textId="77777777" w:rsidR="00281644" w:rsidRPr="00942EDA" w:rsidRDefault="006A2248"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A</w:t>
      </w:r>
      <w:r w:rsidR="00281644" w:rsidRPr="00942EDA">
        <w:rPr>
          <w:rFonts w:ascii="Times New Roman" w:hAnsi="Times New Roman" w:cs="Times New Roman"/>
          <w:lang w:val="en-GB"/>
        </w:rPr>
        <w:t xml:space="preserve">bove ground </w:t>
      </w:r>
      <w:r w:rsidR="00E35560" w:rsidRPr="00942EDA">
        <w:rPr>
          <w:rFonts w:ascii="Times New Roman" w:hAnsi="Times New Roman" w:cs="Times New Roman"/>
          <w:lang w:val="en-GB"/>
        </w:rPr>
        <w:t xml:space="preserve">concrete structures </w:t>
      </w:r>
      <w:r w:rsidR="00281644" w:rsidRPr="00942EDA">
        <w:rPr>
          <w:rFonts w:ascii="Times New Roman" w:hAnsi="Times New Roman" w:cs="Times New Roman"/>
          <w:lang w:val="en-GB"/>
        </w:rPr>
        <w:t>offer advantages of accessibility for periodic examination. However, they present challenges for selecting non-destructive techniques for examinations due to such factors as large thickness of concrete walls</w:t>
      </w:r>
      <w:r w:rsidR="00E35560" w:rsidRPr="00942EDA">
        <w:rPr>
          <w:rFonts w:ascii="Times New Roman" w:hAnsi="Times New Roman" w:cs="Times New Roman"/>
          <w:lang w:val="en-GB"/>
        </w:rPr>
        <w:t xml:space="preserve"> and</w:t>
      </w:r>
      <w:r w:rsidR="00281644" w:rsidRPr="00942EDA">
        <w:rPr>
          <w:rFonts w:ascii="Times New Roman" w:hAnsi="Times New Roman" w:cs="Times New Roman"/>
          <w:lang w:val="en-GB"/>
        </w:rPr>
        <w:t xml:space="preserve"> congested reinforcement layou</w:t>
      </w:r>
      <w:r w:rsidR="00985EDA" w:rsidRPr="00942EDA">
        <w:rPr>
          <w:rFonts w:ascii="Times New Roman" w:hAnsi="Times New Roman" w:cs="Times New Roman"/>
          <w:lang w:val="en-GB"/>
        </w:rPr>
        <w:t>t</w:t>
      </w:r>
      <w:r w:rsidR="00281644" w:rsidRPr="00942EDA">
        <w:rPr>
          <w:rFonts w:ascii="Times New Roman" w:hAnsi="Times New Roman" w:cs="Times New Roman"/>
          <w:lang w:val="en-GB"/>
        </w:rPr>
        <w:t>.</w:t>
      </w:r>
    </w:p>
    <w:p w14:paraId="077EBD7E" w14:textId="189409A0" w:rsidR="0008611B" w:rsidRPr="00937D37" w:rsidRDefault="00281644" w:rsidP="009978AD">
      <w:pPr>
        <w:pStyle w:val="Default"/>
        <w:spacing w:before="120" w:after="120"/>
        <w:jc w:val="both"/>
        <w:rPr>
          <w:rFonts w:ascii="Times New Roman" w:hAnsi="Times New Roman" w:cs="Times New Roman"/>
          <w:color w:val="auto"/>
          <w:lang w:val="en-GB"/>
        </w:rPr>
      </w:pPr>
      <w:r w:rsidRPr="00942EDA">
        <w:rPr>
          <w:rFonts w:ascii="Times New Roman" w:hAnsi="Times New Roman" w:cs="Times New Roman"/>
          <w:lang w:val="en-GB"/>
        </w:rPr>
        <w:t xml:space="preserve">To overcome these limitations, a variety of techniques including visual and non-destructive techniques as well as laboratory analyses of recovered samples were used to </w:t>
      </w:r>
      <w:r w:rsidR="006E260E" w:rsidRPr="00942EDA">
        <w:rPr>
          <w:rFonts w:ascii="Times New Roman" w:hAnsi="Times New Roman" w:cs="Times New Roman"/>
          <w:lang w:val="en-GB"/>
        </w:rPr>
        <w:t>complement</w:t>
      </w:r>
      <w:r w:rsidRPr="00942EDA">
        <w:rPr>
          <w:rFonts w:ascii="Times New Roman" w:hAnsi="Times New Roman" w:cs="Times New Roman"/>
          <w:lang w:val="en-GB"/>
        </w:rPr>
        <w:t xml:space="preserve"> each other to provide reliable data. </w:t>
      </w:r>
      <w:r w:rsidR="00937D37">
        <w:rPr>
          <w:rFonts w:ascii="Times New Roman" w:hAnsi="Times New Roman" w:cs="Times New Roman"/>
          <w:lang w:val="en-GB"/>
        </w:rPr>
        <w:t>The m</w:t>
      </w:r>
      <w:r w:rsidRPr="00942EDA">
        <w:rPr>
          <w:rFonts w:ascii="Times New Roman" w:hAnsi="Times New Roman" w:cs="Times New Roman"/>
          <w:lang w:val="en-GB"/>
        </w:rPr>
        <w:t xml:space="preserve">ain principles of non-destructive techniques </w:t>
      </w:r>
      <w:r w:rsidR="00937D37">
        <w:rPr>
          <w:rFonts w:ascii="Times New Roman" w:hAnsi="Times New Roman" w:cs="Times New Roman"/>
          <w:lang w:val="en-GB"/>
        </w:rPr>
        <w:t>include</w:t>
      </w:r>
      <w:r w:rsidRPr="00942EDA">
        <w:rPr>
          <w:rFonts w:ascii="Times New Roman" w:hAnsi="Times New Roman" w:cs="Times New Roman"/>
          <w:lang w:val="en-GB"/>
        </w:rPr>
        <w:t xml:space="preserve"> impact echo testing, </w:t>
      </w:r>
      <w:r w:rsidR="00937D37">
        <w:rPr>
          <w:rFonts w:ascii="Times New Roman" w:hAnsi="Times New Roman" w:cs="Times New Roman"/>
          <w:lang w:val="en-GB"/>
        </w:rPr>
        <w:t>g</w:t>
      </w:r>
      <w:r w:rsidRPr="00942EDA">
        <w:rPr>
          <w:rFonts w:ascii="Times New Roman" w:hAnsi="Times New Roman" w:cs="Times New Roman"/>
          <w:lang w:val="en-GB"/>
        </w:rPr>
        <w:t xml:space="preserve">round </w:t>
      </w:r>
      <w:r w:rsidR="00937D37">
        <w:rPr>
          <w:rFonts w:ascii="Times New Roman" w:hAnsi="Times New Roman" w:cs="Times New Roman"/>
          <w:lang w:val="en-GB"/>
        </w:rPr>
        <w:t>p</w:t>
      </w:r>
      <w:r w:rsidRPr="00942EDA">
        <w:rPr>
          <w:rFonts w:ascii="Times New Roman" w:hAnsi="Times New Roman" w:cs="Times New Roman"/>
          <w:lang w:val="en-GB"/>
        </w:rPr>
        <w:t xml:space="preserve">enetrating </w:t>
      </w:r>
      <w:r w:rsidR="00937D37">
        <w:rPr>
          <w:rFonts w:ascii="Times New Roman" w:hAnsi="Times New Roman" w:cs="Times New Roman"/>
          <w:lang w:val="en-GB"/>
        </w:rPr>
        <w:t>r</w:t>
      </w:r>
      <w:r w:rsidRPr="00942EDA">
        <w:rPr>
          <w:rFonts w:ascii="Times New Roman" w:hAnsi="Times New Roman" w:cs="Times New Roman"/>
          <w:lang w:val="en-GB"/>
        </w:rPr>
        <w:t>adar (GPR) and impact hammer, as well as semi-destructive half-cell potential test</w:t>
      </w:r>
      <w:r w:rsidRPr="00937D37">
        <w:rPr>
          <w:rFonts w:ascii="Times New Roman" w:hAnsi="Times New Roman" w:cs="Times New Roman"/>
          <w:color w:val="auto"/>
          <w:lang w:val="en-GB"/>
        </w:rPr>
        <w:t>.</w:t>
      </w:r>
    </w:p>
    <w:p w14:paraId="358296FE" w14:textId="77777777" w:rsidR="00BC0D07" w:rsidRDefault="00BC0D07" w:rsidP="009978AD">
      <w:pPr>
        <w:pStyle w:val="Heading3"/>
        <w:spacing w:before="120"/>
        <w:jc w:val="both"/>
        <w:rPr>
          <w:rFonts w:ascii="Times New Roman" w:hAnsi="Times New Roman"/>
          <w:sz w:val="24"/>
          <w:szCs w:val="24"/>
          <w:lang w:val="en-GB"/>
        </w:rPr>
      </w:pPr>
    </w:p>
    <w:p w14:paraId="1A20ECCC" w14:textId="38C34032" w:rsidR="00851B6E" w:rsidRPr="00942EDA" w:rsidRDefault="00851B6E" w:rsidP="009978AD">
      <w:pPr>
        <w:pStyle w:val="Heading3"/>
        <w:spacing w:before="120"/>
        <w:jc w:val="both"/>
        <w:rPr>
          <w:rFonts w:ascii="Times New Roman" w:hAnsi="Times New Roman"/>
          <w:sz w:val="24"/>
          <w:szCs w:val="24"/>
          <w:lang w:val="en-GB"/>
        </w:rPr>
      </w:pPr>
      <w:r w:rsidRPr="00942EDA">
        <w:rPr>
          <w:rFonts w:ascii="Times New Roman" w:hAnsi="Times New Roman"/>
          <w:sz w:val="24"/>
          <w:szCs w:val="24"/>
          <w:lang w:val="en-GB"/>
        </w:rPr>
        <w:t>Evaluation and Technical Basis</w:t>
      </w:r>
    </w:p>
    <w:p w14:paraId="7C292061" w14:textId="77777777" w:rsidR="00851B6E" w:rsidRPr="00942EDA" w:rsidRDefault="00851B6E" w:rsidP="009978AD">
      <w:pPr>
        <w:pStyle w:val="Default"/>
        <w:numPr>
          <w:ilvl w:val="0"/>
          <w:numId w:val="1"/>
        </w:numPr>
        <w:spacing w:before="120" w:after="120"/>
        <w:ind w:left="426" w:hanging="426"/>
        <w:jc w:val="both"/>
        <w:rPr>
          <w:rFonts w:ascii="Times New Roman" w:hAnsi="Times New Roman" w:cs="Times New Roman"/>
          <w:b/>
          <w:bCs/>
          <w:i/>
          <w:lang w:val="en-GB"/>
        </w:rPr>
      </w:pPr>
      <w:r w:rsidRPr="00942EDA">
        <w:rPr>
          <w:rFonts w:ascii="Times New Roman" w:hAnsi="Times New Roman" w:cs="Times New Roman"/>
          <w:b/>
          <w:bCs/>
          <w:i/>
          <w:lang w:val="en-GB"/>
        </w:rPr>
        <w:tab/>
        <w:t>Scope of the ageing management programme based on understanding ageing:</w:t>
      </w:r>
    </w:p>
    <w:p w14:paraId="50CC1403" w14:textId="7E098626" w:rsidR="00F0585E" w:rsidRPr="00942EDA" w:rsidRDefault="008A45F4" w:rsidP="009978AD">
      <w:pPr>
        <w:spacing w:before="120" w:after="120" w:line="240" w:lineRule="auto"/>
        <w:jc w:val="both"/>
        <w:rPr>
          <w:rFonts w:ascii="Times New Roman" w:hAnsi="Times New Roman" w:cs="Times New Roman"/>
          <w:sz w:val="24"/>
          <w:lang w:val="en-GB"/>
        </w:rPr>
      </w:pPr>
      <w:r w:rsidRPr="00942EDA">
        <w:rPr>
          <w:rFonts w:ascii="Times New Roman" w:hAnsi="Times New Roman" w:cs="Times New Roman"/>
          <w:sz w:val="24"/>
          <w:lang w:val="en-GB"/>
        </w:rPr>
        <w:t xml:space="preserve">This Ageing Management Programme applies to </w:t>
      </w:r>
      <w:r w:rsidR="007C0F43" w:rsidRPr="00942EDA">
        <w:rPr>
          <w:rFonts w:ascii="Times New Roman" w:hAnsi="Times New Roman" w:cs="Times New Roman"/>
          <w:sz w:val="24"/>
          <w:lang w:val="en-GB"/>
        </w:rPr>
        <w:t xml:space="preserve">interim </w:t>
      </w:r>
      <w:r w:rsidR="006F5A28" w:rsidRPr="00942EDA">
        <w:rPr>
          <w:rFonts w:ascii="Times New Roman" w:hAnsi="Times New Roman" w:cs="Times New Roman"/>
          <w:sz w:val="24"/>
          <w:lang w:val="en-GB"/>
        </w:rPr>
        <w:t>spent fuel</w:t>
      </w:r>
      <w:r w:rsidR="000206F7" w:rsidRPr="00942EDA">
        <w:rPr>
          <w:rFonts w:ascii="Times New Roman" w:hAnsi="Times New Roman" w:cs="Times New Roman"/>
          <w:sz w:val="24"/>
          <w:lang w:val="en-GB"/>
        </w:rPr>
        <w:t xml:space="preserve"> dry</w:t>
      </w:r>
      <w:r w:rsidR="009D3BF7" w:rsidRPr="00942EDA">
        <w:rPr>
          <w:rFonts w:ascii="Times New Roman" w:hAnsi="Times New Roman" w:cs="Times New Roman"/>
          <w:sz w:val="24"/>
          <w:lang w:val="en-GB"/>
        </w:rPr>
        <w:t xml:space="preserve"> </w:t>
      </w:r>
      <w:r w:rsidR="007C0F43" w:rsidRPr="00942EDA">
        <w:rPr>
          <w:rFonts w:ascii="Times New Roman" w:hAnsi="Times New Roman" w:cs="Times New Roman"/>
          <w:sz w:val="24"/>
          <w:lang w:val="en-GB"/>
        </w:rPr>
        <w:t>storage concrete structures above ground</w:t>
      </w:r>
      <w:r w:rsidR="00887D5A" w:rsidRPr="00942EDA">
        <w:rPr>
          <w:rFonts w:ascii="Times New Roman" w:hAnsi="Times New Roman" w:cs="Times New Roman"/>
          <w:sz w:val="24"/>
          <w:lang w:val="en-GB"/>
        </w:rPr>
        <w:t xml:space="preserve">. This AMP does not consider steel baskets, </w:t>
      </w:r>
      <w:r w:rsidR="00F0585E" w:rsidRPr="00942EDA">
        <w:rPr>
          <w:rFonts w:ascii="Times New Roman" w:hAnsi="Times New Roman" w:cs="Times New Roman"/>
          <w:sz w:val="24"/>
          <w:lang w:val="en-GB"/>
        </w:rPr>
        <w:t xml:space="preserve">cast-in items, </w:t>
      </w:r>
      <w:proofErr w:type="gramStart"/>
      <w:r w:rsidR="00887D5A" w:rsidRPr="00942EDA">
        <w:rPr>
          <w:rFonts w:ascii="Times New Roman" w:hAnsi="Times New Roman" w:cs="Times New Roman"/>
          <w:sz w:val="24"/>
          <w:lang w:val="en-GB"/>
        </w:rPr>
        <w:t>canisters</w:t>
      </w:r>
      <w:proofErr w:type="gramEnd"/>
      <w:r w:rsidR="00887D5A" w:rsidRPr="00942EDA">
        <w:rPr>
          <w:rFonts w:ascii="Times New Roman" w:hAnsi="Times New Roman" w:cs="Times New Roman"/>
          <w:sz w:val="24"/>
          <w:lang w:val="en-GB"/>
        </w:rPr>
        <w:t xml:space="preserve"> or any movable parts</w:t>
      </w:r>
      <w:r w:rsidR="00B00F1B" w:rsidRPr="00942EDA">
        <w:rPr>
          <w:rFonts w:ascii="Times New Roman" w:hAnsi="Times New Roman" w:cs="Times New Roman"/>
          <w:sz w:val="24"/>
          <w:lang w:val="en-GB"/>
        </w:rPr>
        <w:t xml:space="preserve">, </w:t>
      </w:r>
      <w:r w:rsidR="00F02152">
        <w:rPr>
          <w:rFonts w:ascii="Times New Roman" w:hAnsi="Times New Roman" w:cs="Times New Roman"/>
          <w:lang w:val="en-GB"/>
        </w:rPr>
        <w:t>which</w:t>
      </w:r>
      <w:r w:rsidR="00B00F1B" w:rsidRPr="00942EDA">
        <w:rPr>
          <w:rFonts w:ascii="Times New Roman" w:hAnsi="Times New Roman" w:cs="Times New Roman"/>
          <w:lang w:val="en-GB"/>
        </w:rPr>
        <w:t xml:space="preserve"> are considered in AMP166.</w:t>
      </w:r>
      <w:r w:rsidR="00B00F1B" w:rsidRPr="00942EDA" w:rsidDel="00B00F1B">
        <w:rPr>
          <w:rFonts w:ascii="Times New Roman" w:hAnsi="Times New Roman" w:cs="Times New Roman"/>
          <w:sz w:val="24"/>
          <w:lang w:val="en-GB"/>
        </w:rPr>
        <w:t xml:space="preserve"> </w:t>
      </w:r>
    </w:p>
    <w:p w14:paraId="40288AC9" w14:textId="31D4640C" w:rsidR="005B093E" w:rsidRDefault="005B093E" w:rsidP="009978AD">
      <w:pPr>
        <w:spacing w:before="120" w:after="120" w:line="240" w:lineRule="auto"/>
        <w:jc w:val="both"/>
        <w:rPr>
          <w:rStyle w:val="fontstyle01"/>
          <w:rFonts w:ascii="Times New Roman" w:hAnsi="Times New Roman" w:cs="Times New Roman"/>
          <w:sz w:val="24"/>
          <w:lang w:val="en-GB"/>
        </w:rPr>
      </w:pPr>
      <w:r w:rsidRPr="00942EDA">
        <w:rPr>
          <w:rStyle w:val="fontstyle01"/>
          <w:rFonts w:ascii="Times New Roman" w:hAnsi="Times New Roman" w:cs="Times New Roman"/>
          <w:sz w:val="24"/>
          <w:lang w:val="en-GB"/>
        </w:rPr>
        <w:t>T</w:t>
      </w:r>
      <w:r w:rsidR="00667E4B">
        <w:rPr>
          <w:rStyle w:val="fontstyle01"/>
          <w:rFonts w:ascii="Times New Roman" w:hAnsi="Times New Roman" w:cs="Times New Roman"/>
          <w:sz w:val="24"/>
          <w:lang w:val="en-GB"/>
        </w:rPr>
        <w:t>he goal of this AMP is t</w:t>
      </w:r>
      <w:r w:rsidRPr="00942EDA">
        <w:rPr>
          <w:rStyle w:val="fontstyle01"/>
          <w:rFonts w:ascii="Times New Roman" w:hAnsi="Times New Roman" w:cs="Times New Roman"/>
          <w:sz w:val="24"/>
          <w:lang w:val="en-GB"/>
        </w:rPr>
        <w:t>o understand and monitor the ag</w:t>
      </w:r>
      <w:r w:rsidR="00993FEB">
        <w:rPr>
          <w:rStyle w:val="fontstyle01"/>
          <w:rFonts w:ascii="Times New Roman" w:hAnsi="Times New Roman" w:cs="Times New Roman"/>
          <w:sz w:val="24"/>
          <w:lang w:val="en-GB"/>
        </w:rPr>
        <w:t>e</w:t>
      </w:r>
      <w:r w:rsidRPr="00942EDA">
        <w:rPr>
          <w:rStyle w:val="fontstyle01"/>
          <w:rFonts w:ascii="Times New Roman" w:hAnsi="Times New Roman" w:cs="Times New Roman"/>
          <w:sz w:val="24"/>
          <w:lang w:val="en-GB"/>
        </w:rPr>
        <w:t xml:space="preserve">ing process of nuclear waste storage </w:t>
      </w:r>
      <w:r w:rsidR="00726B02" w:rsidRPr="00942EDA">
        <w:rPr>
          <w:rStyle w:val="fontstyle01"/>
          <w:rFonts w:ascii="Times New Roman" w:hAnsi="Times New Roman" w:cs="Times New Roman"/>
          <w:sz w:val="24"/>
          <w:lang w:val="en-GB"/>
        </w:rPr>
        <w:t xml:space="preserve">concrete </w:t>
      </w:r>
      <w:r w:rsidRPr="00942EDA">
        <w:rPr>
          <w:rStyle w:val="fontstyle01"/>
          <w:rFonts w:ascii="Times New Roman" w:hAnsi="Times New Roman" w:cs="Times New Roman"/>
          <w:sz w:val="24"/>
          <w:lang w:val="en-GB"/>
        </w:rPr>
        <w:t>structures and to satisfy requirements of nuclear codes to enables controlling and mitigating effects of ag</w:t>
      </w:r>
      <w:r w:rsidR="00993FEB">
        <w:rPr>
          <w:rStyle w:val="fontstyle01"/>
          <w:rFonts w:ascii="Times New Roman" w:hAnsi="Times New Roman" w:cs="Times New Roman"/>
          <w:sz w:val="24"/>
          <w:lang w:val="en-GB"/>
        </w:rPr>
        <w:t>e</w:t>
      </w:r>
      <w:r w:rsidRPr="00942EDA">
        <w:rPr>
          <w:rStyle w:val="fontstyle01"/>
          <w:rFonts w:ascii="Times New Roman" w:hAnsi="Times New Roman" w:cs="Times New Roman"/>
          <w:sz w:val="24"/>
          <w:lang w:val="en-GB"/>
        </w:rPr>
        <w:t xml:space="preserve">ing related deterioration before a degraded condition can cause a loss of </w:t>
      </w:r>
      <w:r w:rsidR="003D0925">
        <w:rPr>
          <w:rStyle w:val="fontstyle01"/>
          <w:rFonts w:ascii="Times New Roman" w:hAnsi="Times New Roman" w:cs="Times New Roman"/>
          <w:sz w:val="24"/>
          <w:lang w:val="en-GB"/>
        </w:rPr>
        <w:t>intended function</w:t>
      </w:r>
      <w:r w:rsidRPr="00942EDA">
        <w:rPr>
          <w:rStyle w:val="fontstyle01"/>
          <w:rFonts w:ascii="Times New Roman" w:hAnsi="Times New Roman" w:cs="Times New Roman"/>
          <w:sz w:val="24"/>
          <w:lang w:val="en-GB"/>
        </w:rPr>
        <w:t>.</w:t>
      </w:r>
    </w:p>
    <w:p w14:paraId="21C8359C" w14:textId="63E4B9BF" w:rsidR="00280393" w:rsidRPr="00942EDA" w:rsidRDefault="00280393"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 xml:space="preserve">Various parameters monitored for concrete structures </w:t>
      </w:r>
      <w:r w:rsidR="000A6F7A">
        <w:rPr>
          <w:rFonts w:ascii="Times New Roman" w:hAnsi="Times New Roman" w:cs="Times New Roman"/>
          <w:lang w:val="en-GB"/>
        </w:rPr>
        <w:fldChar w:fldCharType="begin"/>
      </w:r>
      <w:r w:rsidR="000A6F7A">
        <w:rPr>
          <w:rFonts w:ascii="Times New Roman" w:hAnsi="Times New Roman" w:cs="Times New Roman"/>
          <w:lang w:val="en-GB"/>
        </w:rPr>
        <w:instrText xml:space="preserve"> REF _Ref156399901 \r \h </w:instrText>
      </w:r>
      <w:r w:rsidR="000A6F7A">
        <w:rPr>
          <w:rFonts w:ascii="Times New Roman" w:hAnsi="Times New Roman" w:cs="Times New Roman"/>
          <w:lang w:val="en-GB"/>
        </w:rPr>
      </w:r>
      <w:r w:rsidR="000A6F7A">
        <w:rPr>
          <w:rFonts w:ascii="Times New Roman" w:hAnsi="Times New Roman" w:cs="Times New Roman"/>
          <w:lang w:val="en-GB"/>
        </w:rPr>
        <w:fldChar w:fldCharType="separate"/>
      </w:r>
      <w:r w:rsidR="000A6F7A">
        <w:rPr>
          <w:rFonts w:ascii="Times New Roman" w:hAnsi="Times New Roman" w:cs="Times New Roman"/>
          <w:lang w:val="en-GB"/>
        </w:rPr>
        <w:t>[1]</w:t>
      </w:r>
      <w:r w:rsidR="000A6F7A">
        <w:rPr>
          <w:rFonts w:ascii="Times New Roman" w:hAnsi="Times New Roman" w:cs="Times New Roman"/>
          <w:lang w:val="en-GB"/>
        </w:rPr>
        <w:fldChar w:fldCharType="end"/>
      </w:r>
      <w:r w:rsidR="000A6F7A">
        <w:rPr>
          <w:rFonts w:ascii="Times New Roman" w:hAnsi="Times New Roman" w:cs="Times New Roman"/>
          <w:lang w:val="en-GB"/>
        </w:rPr>
        <w:t xml:space="preserve">, </w:t>
      </w:r>
      <w:r w:rsidR="000A6F7A">
        <w:rPr>
          <w:rFonts w:ascii="Times New Roman" w:hAnsi="Times New Roman" w:cs="Times New Roman"/>
          <w:lang w:val="en-GB"/>
        </w:rPr>
        <w:fldChar w:fldCharType="begin"/>
      </w:r>
      <w:r w:rsidR="000A6F7A">
        <w:rPr>
          <w:rFonts w:ascii="Times New Roman" w:hAnsi="Times New Roman" w:cs="Times New Roman"/>
          <w:lang w:val="en-GB"/>
        </w:rPr>
        <w:instrText xml:space="preserve"> REF _Ref156399913 \r \h </w:instrText>
      </w:r>
      <w:r w:rsidR="000A6F7A">
        <w:rPr>
          <w:rFonts w:ascii="Times New Roman" w:hAnsi="Times New Roman" w:cs="Times New Roman"/>
          <w:lang w:val="en-GB"/>
        </w:rPr>
      </w:r>
      <w:r w:rsidR="000A6F7A">
        <w:rPr>
          <w:rFonts w:ascii="Times New Roman" w:hAnsi="Times New Roman" w:cs="Times New Roman"/>
          <w:lang w:val="en-GB"/>
        </w:rPr>
        <w:fldChar w:fldCharType="separate"/>
      </w:r>
      <w:r w:rsidR="000A6F7A">
        <w:rPr>
          <w:rFonts w:ascii="Times New Roman" w:hAnsi="Times New Roman" w:cs="Times New Roman"/>
          <w:lang w:val="en-GB"/>
        </w:rPr>
        <w:t>[2]</w:t>
      </w:r>
      <w:r w:rsidR="000A6F7A">
        <w:rPr>
          <w:rFonts w:ascii="Times New Roman" w:hAnsi="Times New Roman" w:cs="Times New Roman"/>
          <w:lang w:val="en-GB"/>
        </w:rPr>
        <w:fldChar w:fldCharType="end"/>
      </w:r>
      <w:r w:rsidRPr="00942EDA">
        <w:rPr>
          <w:rFonts w:ascii="Times New Roman" w:hAnsi="Times New Roman" w:cs="Times New Roman"/>
          <w:lang w:val="en-GB"/>
        </w:rPr>
        <w:t xml:space="preserve"> are summarized as </w:t>
      </w:r>
      <w:r w:rsidR="00445135">
        <w:rPr>
          <w:rFonts w:ascii="Times New Roman" w:hAnsi="Times New Roman" w:cs="Times New Roman"/>
          <w:lang w:val="en-GB"/>
        </w:rPr>
        <w:t>below</w:t>
      </w:r>
      <w:r w:rsidRPr="00942EDA">
        <w:rPr>
          <w:rFonts w:ascii="Times New Roman" w:hAnsi="Times New Roman" w:cs="Times New Roman"/>
          <w:lang w:val="en-GB"/>
        </w:rPr>
        <w:t xml:space="preserve">: </w:t>
      </w:r>
    </w:p>
    <w:p w14:paraId="6E68A314" w14:textId="4F1B1DDF" w:rsidR="00334AE8"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Cracking (extent and magnitude</w:t>
      </w:r>
      <w:proofErr w:type="gramStart"/>
      <w:r w:rsidRPr="00942EDA">
        <w:rPr>
          <w:rFonts w:ascii="Times New Roman" w:hAnsi="Times New Roman" w:cs="Times New Roman"/>
          <w:lang w:val="en-GB"/>
        </w:rPr>
        <w:t>)</w:t>
      </w:r>
      <w:r w:rsidR="001D541A">
        <w:rPr>
          <w:rFonts w:ascii="Times New Roman" w:hAnsi="Times New Roman" w:cs="Times New Roman"/>
          <w:lang w:val="en-GB"/>
        </w:rPr>
        <w:t>;</w:t>
      </w:r>
      <w:proofErr w:type="gramEnd"/>
    </w:p>
    <w:p w14:paraId="18BD6748" w14:textId="1D473078" w:rsidR="00280393" w:rsidRPr="00942EDA" w:rsidRDefault="00334AE8" w:rsidP="00334AE8">
      <w:pPr>
        <w:pStyle w:val="Default"/>
        <w:numPr>
          <w:ilvl w:val="0"/>
          <w:numId w:val="2"/>
        </w:numPr>
        <w:spacing w:before="120" w:after="120"/>
        <w:ind w:left="714" w:hanging="357"/>
        <w:contextualSpacing/>
        <w:jc w:val="both"/>
        <w:rPr>
          <w:rFonts w:ascii="Times New Roman" w:hAnsi="Times New Roman" w:cs="Times New Roman"/>
          <w:lang w:val="en-GB"/>
        </w:rPr>
      </w:pPr>
      <w:r>
        <w:rPr>
          <w:rFonts w:ascii="Times New Roman" w:hAnsi="Times New Roman" w:cs="Times New Roman"/>
          <w:lang w:val="en-GB"/>
        </w:rPr>
        <w:t>Loss of material (</w:t>
      </w:r>
      <w:r w:rsidR="00280393" w:rsidRPr="00942EDA">
        <w:rPr>
          <w:rFonts w:ascii="Times New Roman" w:hAnsi="Times New Roman" w:cs="Times New Roman"/>
          <w:lang w:val="en-GB"/>
        </w:rPr>
        <w:t>spalling and delamination</w:t>
      </w:r>
      <w:r w:rsidR="001D541A">
        <w:rPr>
          <w:rFonts w:ascii="Times New Roman" w:hAnsi="Times New Roman" w:cs="Times New Roman"/>
          <w:lang w:val="en-GB"/>
        </w:rPr>
        <w:t xml:space="preserve"> size, geometry and depth</w:t>
      </w:r>
      <w:proofErr w:type="gramStart"/>
      <w:r w:rsidR="001D541A">
        <w:rPr>
          <w:rFonts w:ascii="Times New Roman" w:hAnsi="Times New Roman" w:cs="Times New Roman"/>
          <w:lang w:val="en-GB"/>
        </w:rPr>
        <w:t>)</w:t>
      </w:r>
      <w:r w:rsidR="00280393" w:rsidRPr="00942EDA">
        <w:rPr>
          <w:rFonts w:ascii="Times New Roman" w:hAnsi="Times New Roman" w:cs="Times New Roman"/>
          <w:lang w:val="en-GB"/>
        </w:rPr>
        <w:t>;</w:t>
      </w:r>
      <w:proofErr w:type="gramEnd"/>
    </w:p>
    <w:p w14:paraId="3530052E" w14:textId="77777777"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Ingress of harmful substances (e.g., chloride content of concrete, sulphate attack</w:t>
      </w:r>
      <w:proofErr w:type="gramStart"/>
      <w:r w:rsidRPr="00942EDA">
        <w:rPr>
          <w:rFonts w:ascii="Times New Roman" w:hAnsi="Times New Roman" w:cs="Times New Roman"/>
          <w:lang w:val="en-GB"/>
        </w:rPr>
        <w:t>);</w:t>
      </w:r>
      <w:proofErr w:type="gramEnd"/>
    </w:p>
    <w:p w14:paraId="50DB6669" w14:textId="77777777"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Reduction in concrete pH due to leaching of calcium </w:t>
      </w:r>
      <w:proofErr w:type="gramStart"/>
      <w:r w:rsidRPr="00942EDA">
        <w:rPr>
          <w:rFonts w:ascii="Times New Roman" w:hAnsi="Times New Roman" w:cs="Times New Roman"/>
          <w:lang w:val="en-GB"/>
        </w:rPr>
        <w:t>hydroxide;</w:t>
      </w:r>
      <w:proofErr w:type="gramEnd"/>
    </w:p>
    <w:p w14:paraId="0BF4B406" w14:textId="77777777"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Concrete </w:t>
      </w:r>
      <w:proofErr w:type="gramStart"/>
      <w:r w:rsidRPr="00942EDA">
        <w:rPr>
          <w:rFonts w:ascii="Times New Roman" w:hAnsi="Times New Roman" w:cs="Times New Roman"/>
          <w:lang w:val="en-GB"/>
        </w:rPr>
        <w:t>carbonation;</w:t>
      </w:r>
      <w:proofErr w:type="gramEnd"/>
    </w:p>
    <w:p w14:paraId="45AAF08B" w14:textId="7C1B2EF0"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Corrosion of </w:t>
      </w:r>
      <w:proofErr w:type="gramStart"/>
      <w:r w:rsidRPr="00942EDA">
        <w:rPr>
          <w:rFonts w:ascii="Times New Roman" w:hAnsi="Times New Roman" w:cs="Times New Roman"/>
          <w:lang w:val="en-GB"/>
        </w:rPr>
        <w:t>rebar;</w:t>
      </w:r>
      <w:proofErr w:type="gramEnd"/>
    </w:p>
    <w:p w14:paraId="49DADE56" w14:textId="524D72FD"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Fatigue due to cycli</w:t>
      </w:r>
      <w:r w:rsidR="002F1A03">
        <w:rPr>
          <w:rFonts w:ascii="Times New Roman" w:hAnsi="Times New Roman" w:cs="Times New Roman"/>
          <w:lang w:val="en-GB"/>
        </w:rPr>
        <w:t>cal</w:t>
      </w:r>
      <w:r w:rsidRPr="00942EDA">
        <w:rPr>
          <w:rFonts w:ascii="Times New Roman" w:hAnsi="Times New Roman" w:cs="Times New Roman"/>
          <w:lang w:val="en-GB"/>
        </w:rPr>
        <w:t xml:space="preserve"> loading, vibration and thermal </w:t>
      </w:r>
      <w:proofErr w:type="gramStart"/>
      <w:r w:rsidRPr="00942EDA">
        <w:rPr>
          <w:rFonts w:ascii="Times New Roman" w:hAnsi="Times New Roman" w:cs="Times New Roman"/>
          <w:lang w:val="en-GB"/>
        </w:rPr>
        <w:t>cycling;</w:t>
      </w:r>
      <w:proofErr w:type="gramEnd"/>
      <w:r w:rsidRPr="00942EDA">
        <w:rPr>
          <w:rFonts w:ascii="Times New Roman" w:hAnsi="Times New Roman" w:cs="Times New Roman"/>
          <w:lang w:val="en-GB"/>
        </w:rPr>
        <w:t xml:space="preserve"> </w:t>
      </w:r>
    </w:p>
    <w:p w14:paraId="6C905AE9" w14:textId="77777777"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Irradiation of </w:t>
      </w:r>
      <w:proofErr w:type="gramStart"/>
      <w:r w:rsidRPr="00942EDA">
        <w:rPr>
          <w:rFonts w:ascii="Times New Roman" w:hAnsi="Times New Roman" w:cs="Times New Roman"/>
          <w:lang w:val="en-GB"/>
        </w:rPr>
        <w:t>concrete;</w:t>
      </w:r>
      <w:proofErr w:type="gramEnd"/>
    </w:p>
    <w:p w14:paraId="78FC9C65" w14:textId="5EC45916"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Loss of </w:t>
      </w:r>
      <w:r w:rsidR="002F1A03">
        <w:rPr>
          <w:rFonts w:ascii="Times New Roman" w:hAnsi="Times New Roman" w:cs="Times New Roman"/>
          <w:lang w:val="en-GB"/>
        </w:rPr>
        <w:t>p</w:t>
      </w:r>
      <w:r w:rsidRPr="00942EDA">
        <w:rPr>
          <w:rFonts w:ascii="Times New Roman" w:hAnsi="Times New Roman" w:cs="Times New Roman"/>
          <w:lang w:val="en-GB"/>
        </w:rPr>
        <w:t xml:space="preserve">re-stressing </w:t>
      </w:r>
      <w:proofErr w:type="gramStart"/>
      <w:r w:rsidRPr="00942EDA">
        <w:rPr>
          <w:rFonts w:ascii="Times New Roman" w:hAnsi="Times New Roman" w:cs="Times New Roman"/>
          <w:lang w:val="en-GB"/>
        </w:rPr>
        <w:t>force;</w:t>
      </w:r>
      <w:proofErr w:type="gramEnd"/>
    </w:p>
    <w:p w14:paraId="0E08C35C" w14:textId="77777777"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Radiation dose </w:t>
      </w:r>
      <w:proofErr w:type="gramStart"/>
      <w:r w:rsidRPr="00942EDA">
        <w:rPr>
          <w:rFonts w:ascii="Times New Roman" w:hAnsi="Times New Roman" w:cs="Times New Roman"/>
          <w:lang w:val="en-GB"/>
        </w:rPr>
        <w:t>rate;</w:t>
      </w:r>
      <w:proofErr w:type="gramEnd"/>
      <w:r w:rsidRPr="00942EDA">
        <w:rPr>
          <w:rFonts w:ascii="Times New Roman" w:hAnsi="Times New Roman" w:cs="Times New Roman"/>
          <w:lang w:val="en-GB"/>
        </w:rPr>
        <w:t xml:space="preserve"> </w:t>
      </w:r>
    </w:p>
    <w:p w14:paraId="013B4CDC" w14:textId="77777777"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Thermal and pressure </w:t>
      </w:r>
      <w:proofErr w:type="gramStart"/>
      <w:r w:rsidRPr="00942EDA">
        <w:rPr>
          <w:rFonts w:ascii="Times New Roman" w:hAnsi="Times New Roman" w:cs="Times New Roman"/>
          <w:lang w:val="en-GB"/>
        </w:rPr>
        <w:t>transients;</w:t>
      </w:r>
      <w:proofErr w:type="gramEnd"/>
    </w:p>
    <w:p w14:paraId="5B003C62" w14:textId="77777777" w:rsidR="00280393" w:rsidRPr="00942EDA"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Boron </w:t>
      </w:r>
      <w:proofErr w:type="gramStart"/>
      <w:r w:rsidRPr="00942EDA">
        <w:rPr>
          <w:rFonts w:ascii="Times New Roman" w:hAnsi="Times New Roman" w:cs="Times New Roman"/>
          <w:lang w:val="en-GB"/>
        </w:rPr>
        <w:t>depletion;</w:t>
      </w:r>
      <w:proofErr w:type="gramEnd"/>
      <w:r w:rsidRPr="00942EDA">
        <w:rPr>
          <w:rFonts w:ascii="Times New Roman" w:hAnsi="Times New Roman" w:cs="Times New Roman"/>
          <w:lang w:val="en-GB"/>
        </w:rPr>
        <w:t xml:space="preserve"> </w:t>
      </w:r>
    </w:p>
    <w:p w14:paraId="331958BD" w14:textId="33BB1D24" w:rsidR="00280393" w:rsidRPr="00942EDA" w:rsidRDefault="0046367C" w:rsidP="00334AE8">
      <w:pPr>
        <w:pStyle w:val="Default"/>
        <w:numPr>
          <w:ilvl w:val="0"/>
          <w:numId w:val="2"/>
        </w:numPr>
        <w:spacing w:before="120" w:after="120"/>
        <w:ind w:left="714" w:hanging="357"/>
        <w:contextualSpacing/>
        <w:jc w:val="both"/>
        <w:rPr>
          <w:rFonts w:ascii="Times New Roman" w:hAnsi="Times New Roman" w:cs="Times New Roman"/>
          <w:lang w:val="en-GB"/>
        </w:rPr>
      </w:pPr>
      <w:proofErr w:type="gramStart"/>
      <w:r>
        <w:rPr>
          <w:rFonts w:ascii="Times New Roman" w:hAnsi="Times New Roman" w:cs="Times New Roman"/>
          <w:lang w:val="en-GB"/>
        </w:rPr>
        <w:t>C</w:t>
      </w:r>
      <w:r w:rsidR="00280393" w:rsidRPr="00942EDA">
        <w:rPr>
          <w:rFonts w:ascii="Times New Roman" w:hAnsi="Times New Roman" w:cs="Times New Roman"/>
          <w:lang w:val="en-GB"/>
        </w:rPr>
        <w:t>reep;</w:t>
      </w:r>
      <w:proofErr w:type="gramEnd"/>
    </w:p>
    <w:p w14:paraId="6E6E277E" w14:textId="0BD00E9D" w:rsidR="00280393" w:rsidRDefault="00280393" w:rsidP="00334AE8">
      <w:pPr>
        <w:pStyle w:val="Default"/>
        <w:numPr>
          <w:ilvl w:val="0"/>
          <w:numId w:val="2"/>
        </w:numPr>
        <w:spacing w:before="120" w:after="120"/>
        <w:ind w:left="714" w:hanging="357"/>
        <w:contextualSpacing/>
        <w:jc w:val="both"/>
        <w:rPr>
          <w:rFonts w:ascii="Times New Roman" w:hAnsi="Times New Roman" w:cs="Times New Roman"/>
          <w:lang w:val="en-GB"/>
        </w:rPr>
      </w:pPr>
      <w:proofErr w:type="gramStart"/>
      <w:r w:rsidRPr="00942EDA">
        <w:rPr>
          <w:rFonts w:ascii="Times New Roman" w:hAnsi="Times New Roman" w:cs="Times New Roman"/>
          <w:lang w:val="en-GB"/>
        </w:rPr>
        <w:t>Erosion</w:t>
      </w:r>
      <w:r w:rsidR="0046367C">
        <w:rPr>
          <w:rFonts w:ascii="Times New Roman" w:hAnsi="Times New Roman" w:cs="Times New Roman"/>
          <w:lang w:val="en-GB"/>
        </w:rPr>
        <w:t>;</w:t>
      </w:r>
      <w:proofErr w:type="gramEnd"/>
    </w:p>
    <w:p w14:paraId="0653680E" w14:textId="4D3C3BA1" w:rsidR="0046367C" w:rsidRDefault="0046367C" w:rsidP="0046367C">
      <w:pPr>
        <w:pStyle w:val="Default"/>
        <w:numPr>
          <w:ilvl w:val="0"/>
          <w:numId w:val="2"/>
        </w:numPr>
        <w:spacing w:before="120" w:after="120"/>
        <w:ind w:left="714" w:hanging="357"/>
        <w:contextualSpacing/>
        <w:jc w:val="both"/>
        <w:rPr>
          <w:rFonts w:ascii="Times New Roman" w:hAnsi="Times New Roman" w:cs="Times New Roman"/>
          <w:lang w:val="en-GB"/>
        </w:rPr>
      </w:pPr>
      <w:r>
        <w:rPr>
          <w:rFonts w:ascii="Times New Roman" w:hAnsi="Times New Roman" w:cs="Times New Roman"/>
          <w:lang w:val="en-GB"/>
        </w:rPr>
        <w:t xml:space="preserve">Water pH, concentration of chlorides and </w:t>
      </w:r>
      <w:r w:rsidR="006E260E">
        <w:rPr>
          <w:rFonts w:ascii="Times New Roman" w:hAnsi="Times New Roman" w:cs="Times New Roman"/>
          <w:lang w:val="en-GB"/>
        </w:rPr>
        <w:t>sulphates</w:t>
      </w:r>
      <w:r>
        <w:rPr>
          <w:rFonts w:ascii="Times New Roman" w:hAnsi="Times New Roman" w:cs="Times New Roman"/>
          <w:lang w:val="en-GB"/>
        </w:rPr>
        <w:t xml:space="preserve"> in the </w:t>
      </w:r>
      <w:proofErr w:type="gramStart"/>
      <w:r>
        <w:rPr>
          <w:rFonts w:ascii="Times New Roman" w:hAnsi="Times New Roman" w:cs="Times New Roman"/>
          <w:lang w:val="en-GB"/>
        </w:rPr>
        <w:t>water</w:t>
      </w:r>
      <w:r w:rsidRPr="00942EDA">
        <w:rPr>
          <w:rFonts w:ascii="Times New Roman" w:hAnsi="Times New Roman" w:cs="Times New Roman"/>
          <w:lang w:val="en-GB"/>
        </w:rPr>
        <w:t>;</w:t>
      </w:r>
      <w:proofErr w:type="gramEnd"/>
    </w:p>
    <w:p w14:paraId="2D53E3B5" w14:textId="39C6D211" w:rsidR="0046367C" w:rsidRPr="00F54626" w:rsidRDefault="00F54626" w:rsidP="0071711C">
      <w:pPr>
        <w:pStyle w:val="Default"/>
        <w:numPr>
          <w:ilvl w:val="0"/>
          <w:numId w:val="2"/>
        </w:numPr>
        <w:spacing w:before="120" w:after="120"/>
        <w:ind w:left="714" w:hanging="357"/>
        <w:contextualSpacing/>
        <w:jc w:val="both"/>
        <w:rPr>
          <w:rFonts w:ascii="Times New Roman" w:hAnsi="Times New Roman" w:cs="Times New Roman"/>
          <w:lang w:val="en-GB"/>
        </w:rPr>
      </w:pPr>
      <w:r w:rsidRPr="00F54626">
        <w:rPr>
          <w:rFonts w:ascii="Times New Roman" w:hAnsi="Times New Roman" w:cs="Times New Roman"/>
          <w:lang w:val="en-GB"/>
        </w:rPr>
        <w:t>For radiation surveys, monitoring of gamma dose rate and neutron fluence rate.</w:t>
      </w:r>
    </w:p>
    <w:p w14:paraId="76226D4E" w14:textId="77777777" w:rsidR="00280393" w:rsidRPr="00942EDA" w:rsidRDefault="00280393" w:rsidP="009978AD">
      <w:pPr>
        <w:spacing w:before="120" w:after="120" w:line="240" w:lineRule="auto"/>
        <w:jc w:val="both"/>
        <w:rPr>
          <w:rStyle w:val="fontstyle01"/>
          <w:rFonts w:ascii="Times New Roman" w:hAnsi="Times New Roman" w:cs="Times New Roman"/>
          <w:sz w:val="24"/>
          <w:lang w:val="en-GB"/>
        </w:rPr>
      </w:pPr>
    </w:p>
    <w:p w14:paraId="6E6116BC" w14:textId="112ED7FB" w:rsidR="00851B6E" w:rsidRPr="00942EDA" w:rsidRDefault="00851B6E" w:rsidP="009978AD">
      <w:pPr>
        <w:pStyle w:val="Default"/>
        <w:numPr>
          <w:ilvl w:val="0"/>
          <w:numId w:val="1"/>
        </w:numPr>
        <w:spacing w:before="120" w:after="120"/>
        <w:ind w:left="425" w:hanging="425"/>
        <w:jc w:val="both"/>
        <w:rPr>
          <w:rFonts w:ascii="Times New Roman" w:hAnsi="Times New Roman" w:cs="Times New Roman"/>
          <w:b/>
          <w:bCs/>
          <w:i/>
          <w:lang w:val="en-GB"/>
        </w:rPr>
      </w:pPr>
      <w:r w:rsidRPr="00942EDA">
        <w:rPr>
          <w:rFonts w:ascii="Times New Roman" w:hAnsi="Times New Roman" w:cs="Times New Roman"/>
          <w:b/>
          <w:bCs/>
          <w:i/>
          <w:lang w:val="en-GB"/>
        </w:rPr>
        <w:tab/>
        <w:t xml:space="preserve">Preventive </w:t>
      </w:r>
      <w:r w:rsidR="006F537D">
        <w:rPr>
          <w:rFonts w:ascii="Times New Roman" w:hAnsi="Times New Roman" w:cs="Times New Roman"/>
          <w:b/>
          <w:bCs/>
          <w:i/>
          <w:lang w:val="en-GB"/>
        </w:rPr>
        <w:t>a</w:t>
      </w:r>
      <w:r w:rsidRPr="00942EDA">
        <w:rPr>
          <w:rFonts w:ascii="Times New Roman" w:hAnsi="Times New Roman" w:cs="Times New Roman"/>
          <w:b/>
          <w:bCs/>
          <w:i/>
          <w:lang w:val="en-GB"/>
        </w:rPr>
        <w:t xml:space="preserve">ctions to minimize and control ageing degradation: </w:t>
      </w:r>
    </w:p>
    <w:p w14:paraId="1DB222B6" w14:textId="1CC195C1" w:rsidR="008A45F4" w:rsidRPr="00942EDA" w:rsidRDefault="008A45F4" w:rsidP="009978AD">
      <w:pPr>
        <w:pStyle w:val="Default"/>
        <w:spacing w:before="120" w:after="120"/>
        <w:jc w:val="both"/>
        <w:rPr>
          <w:rFonts w:ascii="Times New Roman" w:hAnsi="Times New Roman" w:cs="Times New Roman"/>
          <w:bCs/>
          <w:iCs/>
          <w:lang w:val="en-GB"/>
        </w:rPr>
      </w:pPr>
      <w:r w:rsidRPr="00942EDA">
        <w:rPr>
          <w:rFonts w:ascii="Times New Roman" w:hAnsi="Times New Roman" w:cs="Times New Roman"/>
          <w:bCs/>
          <w:iCs/>
          <w:lang w:val="en-GB"/>
        </w:rPr>
        <w:t>This is a condition monitoring programme. The programme is augmented to include preventive actions.</w:t>
      </w:r>
      <w:r w:rsidR="009D3BF7" w:rsidRPr="00942EDA">
        <w:rPr>
          <w:rFonts w:ascii="Times New Roman" w:hAnsi="Times New Roman" w:cs="Times New Roman"/>
          <w:bCs/>
          <w:iCs/>
          <w:lang w:val="en-GB"/>
        </w:rPr>
        <w:t xml:space="preserve"> </w:t>
      </w:r>
      <w:r w:rsidRPr="00942EDA">
        <w:rPr>
          <w:rFonts w:ascii="Times New Roman" w:hAnsi="Times New Roman" w:cs="Times New Roman"/>
          <w:bCs/>
          <w:iCs/>
          <w:lang w:val="en-GB"/>
        </w:rPr>
        <w:t>Several actions can be undertaken to prevent ageing effects such as:</w:t>
      </w:r>
    </w:p>
    <w:p w14:paraId="55EA4FB2" w14:textId="77777777" w:rsidR="008A45F4" w:rsidRPr="00942EDA" w:rsidRDefault="001D0CF5" w:rsidP="00497F0E">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bCs/>
          <w:iCs/>
          <w:lang w:val="en-GB"/>
        </w:rPr>
        <w:t>Reinforcement c</w:t>
      </w:r>
      <w:r w:rsidR="008A45F4" w:rsidRPr="00942EDA">
        <w:rPr>
          <w:rFonts w:ascii="Times New Roman" w:hAnsi="Times New Roman" w:cs="Times New Roman"/>
          <w:lang w:val="en-GB"/>
        </w:rPr>
        <w:t xml:space="preserve">orrosion </w:t>
      </w:r>
      <w:proofErr w:type="gramStart"/>
      <w:r w:rsidR="008A45F4" w:rsidRPr="00942EDA">
        <w:rPr>
          <w:rFonts w:ascii="Times New Roman" w:hAnsi="Times New Roman" w:cs="Times New Roman"/>
          <w:lang w:val="en-GB"/>
        </w:rPr>
        <w:t>protection;</w:t>
      </w:r>
      <w:proofErr w:type="gramEnd"/>
    </w:p>
    <w:p w14:paraId="1900469E" w14:textId="77777777" w:rsidR="008A45F4" w:rsidRPr="00942EDA" w:rsidRDefault="008A45F4" w:rsidP="00497F0E">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Sealants to avoid water </w:t>
      </w:r>
      <w:proofErr w:type="gramStart"/>
      <w:r w:rsidRPr="00942EDA">
        <w:rPr>
          <w:rFonts w:ascii="Times New Roman" w:hAnsi="Times New Roman" w:cs="Times New Roman"/>
          <w:lang w:val="en-GB"/>
        </w:rPr>
        <w:t>infiltration;</w:t>
      </w:r>
      <w:proofErr w:type="gramEnd"/>
    </w:p>
    <w:p w14:paraId="3AA1E4E7" w14:textId="10CECF4F" w:rsidR="008A45F4" w:rsidRPr="00942EDA" w:rsidRDefault="008A45F4" w:rsidP="00497F0E">
      <w:pPr>
        <w:pStyle w:val="Default"/>
        <w:numPr>
          <w:ilvl w:val="0"/>
          <w:numId w:val="2"/>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Coating</w:t>
      </w:r>
      <w:r w:rsidR="00CD14AB">
        <w:rPr>
          <w:rFonts w:ascii="Times New Roman" w:hAnsi="Times New Roman" w:cs="Times New Roman"/>
          <w:lang w:val="en-GB"/>
        </w:rPr>
        <w:t>s</w:t>
      </w:r>
      <w:r w:rsidRPr="00942EDA">
        <w:rPr>
          <w:rFonts w:ascii="Times New Roman" w:hAnsi="Times New Roman" w:cs="Times New Roman"/>
          <w:lang w:val="en-GB"/>
        </w:rPr>
        <w:t xml:space="preserve"> to prevent corrosion or concrete </w:t>
      </w:r>
      <w:proofErr w:type="gramStart"/>
      <w:r w:rsidRPr="00942EDA">
        <w:rPr>
          <w:rFonts w:ascii="Times New Roman" w:hAnsi="Times New Roman" w:cs="Times New Roman"/>
          <w:lang w:val="en-GB"/>
        </w:rPr>
        <w:t>ageing;</w:t>
      </w:r>
      <w:proofErr w:type="gramEnd"/>
    </w:p>
    <w:p w14:paraId="3298F69B" w14:textId="71510A73" w:rsidR="00851B6E" w:rsidRPr="00497F0E" w:rsidRDefault="008A45F4" w:rsidP="00ED18E9">
      <w:pPr>
        <w:pStyle w:val="Default"/>
        <w:numPr>
          <w:ilvl w:val="0"/>
          <w:numId w:val="2"/>
        </w:numPr>
        <w:spacing w:before="120" w:after="120"/>
        <w:ind w:left="714" w:hanging="357"/>
        <w:jc w:val="both"/>
        <w:rPr>
          <w:rFonts w:ascii="Times New Roman" w:hAnsi="Times New Roman" w:cs="Times New Roman"/>
          <w:lang w:val="en-GB"/>
        </w:rPr>
      </w:pPr>
      <w:r w:rsidRPr="00497F0E">
        <w:rPr>
          <w:rFonts w:ascii="Times New Roman" w:hAnsi="Times New Roman" w:cs="Times New Roman"/>
          <w:lang w:val="en-GB"/>
        </w:rPr>
        <w:t xml:space="preserve">Cathodic protection system to prevent corrosion of reinforcement or other steel components </w:t>
      </w:r>
      <w:r w:rsidR="00A6680F">
        <w:rPr>
          <w:rFonts w:ascii="Times New Roman" w:hAnsi="Times New Roman" w:cs="Times New Roman"/>
          <w:lang w:val="en-GB"/>
        </w:rPr>
        <w:fldChar w:fldCharType="begin"/>
      </w:r>
      <w:r w:rsidR="00A6680F">
        <w:rPr>
          <w:rFonts w:ascii="Times New Roman" w:hAnsi="Times New Roman" w:cs="Times New Roman"/>
          <w:lang w:val="en-GB"/>
        </w:rPr>
        <w:instrText xml:space="preserve"> REF _Ref156400034 \r \h </w:instrText>
      </w:r>
      <w:r w:rsidR="00A6680F">
        <w:rPr>
          <w:rFonts w:ascii="Times New Roman" w:hAnsi="Times New Roman" w:cs="Times New Roman"/>
          <w:lang w:val="en-GB"/>
        </w:rPr>
      </w:r>
      <w:r w:rsidR="00A6680F">
        <w:rPr>
          <w:rFonts w:ascii="Times New Roman" w:hAnsi="Times New Roman" w:cs="Times New Roman"/>
          <w:lang w:val="en-GB"/>
        </w:rPr>
        <w:fldChar w:fldCharType="separate"/>
      </w:r>
      <w:r w:rsidR="00A6680F">
        <w:rPr>
          <w:rFonts w:ascii="Times New Roman" w:hAnsi="Times New Roman" w:cs="Times New Roman"/>
          <w:lang w:val="en-GB"/>
        </w:rPr>
        <w:t>[3]</w:t>
      </w:r>
      <w:r w:rsidR="00A6680F">
        <w:rPr>
          <w:rFonts w:ascii="Times New Roman" w:hAnsi="Times New Roman" w:cs="Times New Roman"/>
          <w:lang w:val="en-GB"/>
        </w:rPr>
        <w:fldChar w:fldCharType="end"/>
      </w:r>
      <w:r w:rsidR="00A6680F">
        <w:rPr>
          <w:rFonts w:ascii="Times New Roman" w:hAnsi="Times New Roman" w:cs="Times New Roman"/>
          <w:lang w:val="en-GB"/>
        </w:rPr>
        <w:t xml:space="preserve">, </w:t>
      </w:r>
      <w:r w:rsidR="00A6680F" w:rsidRPr="00704921">
        <w:rPr>
          <w:rFonts w:ascii="Times New Roman" w:hAnsi="Times New Roman" w:cs="Times New Roman"/>
          <w:lang w:val="en-GB"/>
        </w:rPr>
        <w:fldChar w:fldCharType="begin"/>
      </w:r>
      <w:r w:rsidR="00A6680F" w:rsidRPr="00704921">
        <w:rPr>
          <w:rFonts w:ascii="Times New Roman" w:hAnsi="Times New Roman" w:cs="Times New Roman"/>
          <w:lang w:val="en-GB"/>
        </w:rPr>
        <w:instrText xml:space="preserve"> REF _Ref156400048 \r \h </w:instrText>
      </w:r>
      <w:r w:rsidR="00704921">
        <w:rPr>
          <w:rFonts w:ascii="Times New Roman" w:hAnsi="Times New Roman" w:cs="Times New Roman"/>
          <w:lang w:val="en-GB"/>
        </w:rPr>
        <w:instrText xml:space="preserve"> \* MERGEFORMAT </w:instrText>
      </w:r>
      <w:r w:rsidR="00A6680F" w:rsidRPr="00704921">
        <w:rPr>
          <w:rFonts w:ascii="Times New Roman" w:hAnsi="Times New Roman" w:cs="Times New Roman"/>
          <w:lang w:val="en-GB"/>
        </w:rPr>
      </w:r>
      <w:r w:rsidR="00A6680F" w:rsidRPr="00704921">
        <w:rPr>
          <w:rFonts w:ascii="Times New Roman" w:hAnsi="Times New Roman" w:cs="Times New Roman"/>
          <w:lang w:val="en-GB"/>
        </w:rPr>
        <w:fldChar w:fldCharType="separate"/>
      </w:r>
      <w:r w:rsidR="00A6680F" w:rsidRPr="00704921">
        <w:rPr>
          <w:rFonts w:ascii="Times New Roman" w:hAnsi="Times New Roman" w:cs="Times New Roman"/>
          <w:lang w:val="en-GB"/>
        </w:rPr>
        <w:t>[4]</w:t>
      </w:r>
      <w:r w:rsidR="00A6680F" w:rsidRPr="00704921">
        <w:rPr>
          <w:rFonts w:ascii="Times New Roman" w:hAnsi="Times New Roman" w:cs="Times New Roman"/>
          <w:lang w:val="en-GB"/>
        </w:rPr>
        <w:fldChar w:fldCharType="end"/>
      </w:r>
      <w:r w:rsidR="00497F0E" w:rsidRPr="00704921">
        <w:rPr>
          <w:rFonts w:ascii="Times New Roman" w:hAnsi="Times New Roman" w:cs="Times New Roman"/>
          <w:lang w:val="en-GB"/>
        </w:rPr>
        <w:t>.</w:t>
      </w:r>
    </w:p>
    <w:p w14:paraId="7006DE56" w14:textId="256DB155" w:rsidR="00ED18E9" w:rsidRDefault="003F397A" w:rsidP="00ED18E9">
      <w:pPr>
        <w:pStyle w:val="Default"/>
        <w:spacing w:before="120" w:after="120"/>
        <w:jc w:val="both"/>
        <w:rPr>
          <w:rFonts w:ascii="Times New Roman" w:hAnsi="Times New Roman" w:cs="Times New Roman"/>
          <w:lang w:val="en-GB"/>
        </w:rPr>
      </w:pPr>
      <w:r>
        <w:rPr>
          <w:rFonts w:ascii="Times New Roman" w:hAnsi="Times New Roman" w:cs="Times New Roman"/>
          <w:lang w:val="en-GB"/>
        </w:rPr>
        <w:t xml:space="preserve">The </w:t>
      </w:r>
      <w:r w:rsidR="00A3222F">
        <w:rPr>
          <w:rFonts w:ascii="Times New Roman" w:hAnsi="Times New Roman" w:cs="Times New Roman"/>
          <w:lang w:val="en-GB"/>
        </w:rPr>
        <w:t>methods and practices for preventing ageing degradation include selection of proper materials and operating conditions.</w:t>
      </w:r>
    </w:p>
    <w:p w14:paraId="28B972BD" w14:textId="77777777" w:rsidR="00A3222F" w:rsidRPr="00942EDA" w:rsidRDefault="00A3222F" w:rsidP="00ED18E9">
      <w:pPr>
        <w:pStyle w:val="Default"/>
        <w:spacing w:before="120" w:after="120"/>
        <w:jc w:val="both"/>
        <w:rPr>
          <w:rFonts w:ascii="Times New Roman" w:hAnsi="Times New Roman" w:cs="Times New Roman"/>
          <w:lang w:val="en-GB"/>
        </w:rPr>
      </w:pPr>
    </w:p>
    <w:p w14:paraId="353739BC" w14:textId="14C0F98E" w:rsidR="00851B6E" w:rsidRPr="00942EDA" w:rsidRDefault="00851B6E" w:rsidP="009978AD">
      <w:pPr>
        <w:pStyle w:val="Default"/>
        <w:numPr>
          <w:ilvl w:val="0"/>
          <w:numId w:val="1"/>
        </w:numPr>
        <w:spacing w:before="120" w:after="120"/>
        <w:ind w:left="425" w:hanging="425"/>
        <w:jc w:val="both"/>
        <w:rPr>
          <w:rFonts w:ascii="Times New Roman" w:hAnsi="Times New Roman" w:cs="Times New Roman"/>
          <w:b/>
          <w:bCs/>
          <w:i/>
          <w:lang w:val="en-GB"/>
        </w:rPr>
      </w:pPr>
      <w:r w:rsidRPr="00942EDA">
        <w:rPr>
          <w:rFonts w:ascii="Times New Roman" w:hAnsi="Times New Roman" w:cs="Times New Roman"/>
          <w:b/>
          <w:bCs/>
          <w:i/>
          <w:lang w:val="en-GB"/>
        </w:rPr>
        <w:t xml:space="preserve">Detection of </w:t>
      </w:r>
      <w:r w:rsidR="006F537D">
        <w:rPr>
          <w:rFonts w:ascii="Times New Roman" w:hAnsi="Times New Roman" w:cs="Times New Roman"/>
          <w:b/>
          <w:bCs/>
          <w:i/>
          <w:lang w:val="en-GB"/>
        </w:rPr>
        <w:t>a</w:t>
      </w:r>
      <w:r w:rsidRPr="00942EDA">
        <w:rPr>
          <w:rFonts w:ascii="Times New Roman" w:hAnsi="Times New Roman" w:cs="Times New Roman"/>
          <w:b/>
          <w:bCs/>
          <w:i/>
          <w:lang w:val="en-GB"/>
        </w:rPr>
        <w:t xml:space="preserve">geing </w:t>
      </w:r>
      <w:r w:rsidR="006F537D">
        <w:rPr>
          <w:rFonts w:ascii="Times New Roman" w:hAnsi="Times New Roman" w:cs="Times New Roman"/>
          <w:b/>
          <w:bCs/>
          <w:i/>
          <w:lang w:val="en-GB"/>
        </w:rPr>
        <w:t>e</w:t>
      </w:r>
      <w:r w:rsidRPr="00942EDA">
        <w:rPr>
          <w:rFonts w:ascii="Times New Roman" w:hAnsi="Times New Roman" w:cs="Times New Roman"/>
          <w:b/>
          <w:bCs/>
          <w:i/>
          <w:lang w:val="en-GB"/>
        </w:rPr>
        <w:t>ffects:</w:t>
      </w:r>
    </w:p>
    <w:p w14:paraId="22AEC00C" w14:textId="5A626C3D" w:rsidR="00851B6E" w:rsidRPr="00942EDA" w:rsidRDefault="00851B6E" w:rsidP="009978AD">
      <w:pPr>
        <w:pStyle w:val="Body"/>
        <w:numPr>
          <w:ilvl w:val="0"/>
          <w:numId w:val="0"/>
        </w:numPr>
        <w:jc w:val="both"/>
        <w:rPr>
          <w:rFonts w:ascii="Times New Roman" w:hAnsi="Times New Roman"/>
          <w:sz w:val="24"/>
          <w:szCs w:val="24"/>
          <w:lang w:val="en-GB"/>
        </w:rPr>
      </w:pPr>
      <w:r w:rsidRPr="00942EDA">
        <w:rPr>
          <w:rFonts w:ascii="Times New Roman" w:hAnsi="Times New Roman"/>
          <w:sz w:val="24"/>
          <w:szCs w:val="24"/>
          <w:lang w:val="en-GB"/>
        </w:rPr>
        <w:lastRenderedPageBreak/>
        <w:t xml:space="preserve">Ageing </w:t>
      </w:r>
      <w:r w:rsidR="00C05D73">
        <w:rPr>
          <w:rFonts w:ascii="Times New Roman" w:hAnsi="Times New Roman"/>
          <w:sz w:val="24"/>
          <w:szCs w:val="24"/>
          <w:lang w:val="en-GB"/>
        </w:rPr>
        <w:t>effects</w:t>
      </w:r>
      <w:r w:rsidRPr="00942EDA">
        <w:rPr>
          <w:rFonts w:ascii="Times New Roman" w:hAnsi="Times New Roman"/>
          <w:sz w:val="24"/>
          <w:szCs w:val="24"/>
          <w:lang w:val="en-GB"/>
        </w:rPr>
        <w:t xml:space="preserve"> for </w:t>
      </w:r>
      <w:r w:rsidR="005B093E" w:rsidRPr="00942EDA">
        <w:rPr>
          <w:rFonts w:ascii="Times New Roman" w:hAnsi="Times New Roman"/>
          <w:sz w:val="24"/>
          <w:szCs w:val="24"/>
          <w:lang w:val="en-GB"/>
        </w:rPr>
        <w:t xml:space="preserve">spent-fuel </w:t>
      </w:r>
      <w:r w:rsidR="00726B02" w:rsidRPr="00942EDA">
        <w:rPr>
          <w:rFonts w:ascii="Times New Roman" w:hAnsi="Times New Roman"/>
          <w:sz w:val="24"/>
          <w:szCs w:val="24"/>
          <w:lang w:val="en-GB"/>
        </w:rPr>
        <w:t xml:space="preserve">concrete </w:t>
      </w:r>
      <w:r w:rsidR="005B093E" w:rsidRPr="00942EDA">
        <w:rPr>
          <w:rFonts w:ascii="Times New Roman" w:hAnsi="Times New Roman"/>
          <w:sz w:val="24"/>
          <w:szCs w:val="24"/>
          <w:lang w:val="en-GB"/>
        </w:rPr>
        <w:t xml:space="preserve">structures </w:t>
      </w:r>
      <w:r w:rsidRPr="00942EDA">
        <w:rPr>
          <w:rFonts w:ascii="Times New Roman" w:hAnsi="Times New Roman"/>
          <w:sz w:val="24"/>
          <w:szCs w:val="24"/>
          <w:lang w:val="en-GB"/>
        </w:rPr>
        <w:t xml:space="preserve">include loss of strength, loss of material, loss of bond, cracking, changes in material properties, expansion, </w:t>
      </w:r>
      <w:r w:rsidR="005B093E" w:rsidRPr="00942EDA">
        <w:rPr>
          <w:rFonts w:ascii="Times New Roman" w:hAnsi="Times New Roman"/>
          <w:sz w:val="24"/>
          <w:szCs w:val="24"/>
          <w:lang w:val="en-GB"/>
        </w:rPr>
        <w:t xml:space="preserve">and </w:t>
      </w:r>
      <w:r w:rsidRPr="00942EDA">
        <w:rPr>
          <w:rFonts w:ascii="Times New Roman" w:hAnsi="Times New Roman"/>
          <w:sz w:val="24"/>
          <w:szCs w:val="24"/>
          <w:lang w:val="en-GB"/>
        </w:rPr>
        <w:t>delamination</w:t>
      </w:r>
      <w:r w:rsidR="005B093E" w:rsidRPr="00942EDA">
        <w:rPr>
          <w:rFonts w:ascii="Times New Roman" w:hAnsi="Times New Roman"/>
          <w:sz w:val="24"/>
          <w:szCs w:val="24"/>
          <w:lang w:val="en-GB"/>
        </w:rPr>
        <w:t>.</w:t>
      </w:r>
    </w:p>
    <w:p w14:paraId="250A46EB" w14:textId="27A503D6" w:rsidR="0041076F" w:rsidRPr="00942EDA" w:rsidRDefault="00851B6E" w:rsidP="009978AD">
      <w:pPr>
        <w:spacing w:before="120" w:after="120" w:line="240" w:lineRule="auto"/>
        <w:jc w:val="both"/>
        <w:rPr>
          <w:rFonts w:ascii="Times New Roman" w:hAnsi="Times New Roman" w:cs="Times New Roman"/>
          <w:sz w:val="24"/>
          <w:szCs w:val="24"/>
          <w:lang w:val="en-GB"/>
        </w:rPr>
      </w:pPr>
      <w:r w:rsidRPr="00942EDA">
        <w:rPr>
          <w:rFonts w:ascii="Times New Roman" w:hAnsi="Times New Roman" w:cs="Times New Roman"/>
          <w:sz w:val="24"/>
          <w:szCs w:val="24"/>
          <w:lang w:val="en-GB"/>
        </w:rPr>
        <w:t xml:space="preserve">This AMP specifies that inspection of </w:t>
      </w:r>
      <w:r w:rsidR="00726B02" w:rsidRPr="00942EDA">
        <w:rPr>
          <w:rFonts w:ascii="Times New Roman" w:hAnsi="Times New Roman" w:cs="Times New Roman"/>
          <w:sz w:val="24"/>
          <w:szCs w:val="24"/>
          <w:lang w:val="en-GB"/>
        </w:rPr>
        <w:t>s</w:t>
      </w:r>
      <w:r w:rsidR="005B093E" w:rsidRPr="00942EDA">
        <w:rPr>
          <w:rFonts w:ascii="Times New Roman" w:hAnsi="Times New Roman" w:cs="Times New Roman"/>
          <w:sz w:val="24"/>
          <w:szCs w:val="24"/>
          <w:lang w:val="en-GB"/>
        </w:rPr>
        <w:t xml:space="preserve">pent-fuel </w:t>
      </w:r>
      <w:r w:rsidR="00726B02" w:rsidRPr="00942EDA">
        <w:rPr>
          <w:rFonts w:ascii="Times New Roman" w:hAnsi="Times New Roman" w:cs="Times New Roman"/>
          <w:sz w:val="24"/>
          <w:szCs w:val="24"/>
          <w:lang w:val="en-GB"/>
        </w:rPr>
        <w:t xml:space="preserve">concrete </w:t>
      </w:r>
      <w:r w:rsidR="005B093E" w:rsidRPr="00942EDA">
        <w:rPr>
          <w:rFonts w:ascii="Times New Roman" w:hAnsi="Times New Roman" w:cs="Times New Roman"/>
          <w:sz w:val="24"/>
          <w:szCs w:val="24"/>
          <w:lang w:val="en-GB"/>
        </w:rPr>
        <w:t xml:space="preserve">structures </w:t>
      </w:r>
      <w:r w:rsidRPr="00942EDA">
        <w:rPr>
          <w:rFonts w:ascii="Times New Roman" w:hAnsi="Times New Roman" w:cs="Times New Roman"/>
          <w:sz w:val="24"/>
          <w:szCs w:val="24"/>
          <w:lang w:val="en-GB"/>
        </w:rPr>
        <w:t xml:space="preserve">is conducted under the direction of qualified personnel in the investigation, design, construction, and operation of these types of facilities. Visual inspections are primarily used to detect degradation of </w:t>
      </w:r>
      <w:r w:rsidR="005B093E" w:rsidRPr="00942EDA">
        <w:rPr>
          <w:rFonts w:ascii="Times New Roman" w:hAnsi="Times New Roman" w:cs="Times New Roman"/>
          <w:sz w:val="24"/>
          <w:szCs w:val="24"/>
          <w:lang w:val="en-GB"/>
        </w:rPr>
        <w:t xml:space="preserve">spent-fuel </w:t>
      </w:r>
      <w:r w:rsidR="00726B02" w:rsidRPr="00942EDA">
        <w:rPr>
          <w:rFonts w:ascii="Times New Roman" w:hAnsi="Times New Roman" w:cs="Times New Roman"/>
          <w:sz w:val="24"/>
          <w:szCs w:val="24"/>
          <w:lang w:val="en-GB"/>
        </w:rPr>
        <w:t xml:space="preserve">concrete </w:t>
      </w:r>
      <w:r w:rsidRPr="00942EDA">
        <w:rPr>
          <w:rFonts w:ascii="Times New Roman" w:hAnsi="Times New Roman" w:cs="Times New Roman"/>
          <w:sz w:val="24"/>
          <w:szCs w:val="24"/>
          <w:lang w:val="en-GB"/>
        </w:rPr>
        <w:t>structures.</w:t>
      </w:r>
      <w:r w:rsidR="0041076F" w:rsidRPr="00942EDA">
        <w:rPr>
          <w:rFonts w:ascii="Times New Roman" w:hAnsi="Times New Roman" w:cs="Times New Roman"/>
          <w:sz w:val="24"/>
          <w:szCs w:val="24"/>
          <w:lang w:val="en-GB"/>
        </w:rPr>
        <w:t xml:space="preserve"> The ACI Standard 201.1R-08 </w:t>
      </w:r>
      <w:r w:rsidR="00027341">
        <w:rPr>
          <w:rFonts w:ascii="Times New Roman" w:hAnsi="Times New Roman" w:cs="Times New Roman"/>
          <w:sz w:val="24"/>
          <w:szCs w:val="24"/>
          <w:lang w:val="en-GB"/>
        </w:rPr>
        <w:fldChar w:fldCharType="begin"/>
      </w:r>
      <w:r w:rsidR="00027341">
        <w:rPr>
          <w:rFonts w:ascii="Times New Roman" w:hAnsi="Times New Roman" w:cs="Times New Roman"/>
          <w:sz w:val="24"/>
          <w:szCs w:val="24"/>
          <w:lang w:val="en-GB"/>
        </w:rPr>
        <w:instrText xml:space="preserve"> REF _Ref156400131 \r \h </w:instrText>
      </w:r>
      <w:r w:rsidR="00027341">
        <w:rPr>
          <w:rFonts w:ascii="Times New Roman" w:hAnsi="Times New Roman" w:cs="Times New Roman"/>
          <w:sz w:val="24"/>
          <w:szCs w:val="24"/>
          <w:lang w:val="en-GB"/>
        </w:rPr>
      </w:r>
      <w:r w:rsidR="00027341">
        <w:rPr>
          <w:rFonts w:ascii="Times New Roman" w:hAnsi="Times New Roman" w:cs="Times New Roman"/>
          <w:sz w:val="24"/>
          <w:szCs w:val="24"/>
          <w:lang w:val="en-GB"/>
        </w:rPr>
        <w:fldChar w:fldCharType="separate"/>
      </w:r>
      <w:r w:rsidR="00027341">
        <w:rPr>
          <w:rFonts w:ascii="Times New Roman" w:hAnsi="Times New Roman" w:cs="Times New Roman"/>
          <w:sz w:val="24"/>
          <w:szCs w:val="24"/>
          <w:lang w:val="en-GB"/>
        </w:rPr>
        <w:t>[5]</w:t>
      </w:r>
      <w:r w:rsidR="00027341">
        <w:rPr>
          <w:rFonts w:ascii="Times New Roman" w:hAnsi="Times New Roman" w:cs="Times New Roman"/>
          <w:sz w:val="24"/>
          <w:szCs w:val="24"/>
          <w:lang w:val="en-GB"/>
        </w:rPr>
        <w:fldChar w:fldCharType="end"/>
      </w:r>
      <w:r w:rsidR="00027341">
        <w:rPr>
          <w:rFonts w:ascii="Times New Roman" w:hAnsi="Times New Roman" w:cs="Times New Roman"/>
          <w:sz w:val="24"/>
          <w:szCs w:val="24"/>
          <w:lang w:val="en-GB"/>
        </w:rPr>
        <w:t xml:space="preserve"> </w:t>
      </w:r>
      <w:r w:rsidR="0041076F" w:rsidRPr="00942EDA">
        <w:rPr>
          <w:rFonts w:ascii="Times New Roman" w:hAnsi="Times New Roman" w:cs="Times New Roman"/>
          <w:sz w:val="24"/>
          <w:szCs w:val="24"/>
          <w:lang w:val="en-GB"/>
        </w:rPr>
        <w:t xml:space="preserve">is an example for guiding the conduct of visual inspection. </w:t>
      </w:r>
    </w:p>
    <w:p w14:paraId="164F6A32" w14:textId="6009A84A" w:rsidR="00851B6E" w:rsidRPr="00942EDA" w:rsidRDefault="006A04BE"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 xml:space="preserve">Radiation surveys may also be performed to monitor radiation shielding effectiveness, as applicable, if visual inspections are not demonstrated to adequately verify this functional capability. </w:t>
      </w:r>
      <w:r w:rsidR="00851B6E" w:rsidRPr="00942EDA">
        <w:rPr>
          <w:rFonts w:ascii="Times New Roman" w:hAnsi="Times New Roman" w:cs="Times New Roman"/>
          <w:lang w:val="en-GB"/>
        </w:rPr>
        <w:t xml:space="preserve">In some cases, instruments </w:t>
      </w:r>
      <w:r w:rsidR="00726B02" w:rsidRPr="00942EDA">
        <w:rPr>
          <w:rFonts w:ascii="Times New Roman" w:hAnsi="Times New Roman" w:cs="Times New Roman"/>
          <w:lang w:val="en-GB"/>
        </w:rPr>
        <w:t xml:space="preserve">(for example strain gauges) </w:t>
      </w:r>
      <w:r w:rsidR="00851B6E" w:rsidRPr="00942EDA">
        <w:rPr>
          <w:rFonts w:ascii="Times New Roman" w:hAnsi="Times New Roman" w:cs="Times New Roman"/>
          <w:lang w:val="en-GB"/>
        </w:rPr>
        <w:t xml:space="preserve">have been installed to measure the </w:t>
      </w:r>
      <w:r w:rsidR="00847F5E" w:rsidRPr="00942EDA">
        <w:rPr>
          <w:rFonts w:ascii="Times New Roman" w:hAnsi="Times New Roman" w:cs="Times New Roman"/>
          <w:lang w:val="en-GB"/>
        </w:rPr>
        <w:t>behaviour</w:t>
      </w:r>
      <w:r w:rsidR="00F57678" w:rsidRPr="00942EDA">
        <w:rPr>
          <w:rFonts w:ascii="Times New Roman" w:hAnsi="Times New Roman" w:cs="Times New Roman"/>
          <w:lang w:val="en-GB"/>
        </w:rPr>
        <w:t xml:space="preserve"> of spent fuel concrete </w:t>
      </w:r>
      <w:r w:rsidR="005B093E" w:rsidRPr="00942EDA">
        <w:rPr>
          <w:rFonts w:ascii="Times New Roman" w:hAnsi="Times New Roman" w:cs="Times New Roman"/>
          <w:lang w:val="en-GB"/>
        </w:rPr>
        <w:t>structures</w:t>
      </w:r>
      <w:r w:rsidR="00851B6E" w:rsidRPr="00942EDA">
        <w:rPr>
          <w:rFonts w:ascii="Times New Roman" w:hAnsi="Times New Roman" w:cs="Times New Roman"/>
          <w:lang w:val="en-GB"/>
        </w:rPr>
        <w:t>. The available records and readings of installed instruments are to be reviewed to detect any unusual performance or distress that may be indicative of degradation.</w:t>
      </w:r>
    </w:p>
    <w:p w14:paraId="5280BCFB" w14:textId="4814762C" w:rsidR="001A1D23" w:rsidRDefault="001A1D23" w:rsidP="009978AD">
      <w:pPr>
        <w:spacing w:before="120" w:after="120" w:line="240" w:lineRule="auto"/>
        <w:jc w:val="both"/>
        <w:rPr>
          <w:rStyle w:val="fontstyle01"/>
          <w:rFonts w:ascii="Times New Roman" w:hAnsi="Times New Roman" w:cs="Times New Roman"/>
          <w:sz w:val="24"/>
          <w:szCs w:val="24"/>
          <w:lang w:val="en-GB"/>
        </w:rPr>
      </w:pPr>
      <w:r>
        <w:rPr>
          <w:rStyle w:val="fontstyle01"/>
          <w:rFonts w:ascii="Times New Roman" w:hAnsi="Times New Roman" w:cs="Times New Roman"/>
          <w:sz w:val="24"/>
          <w:szCs w:val="24"/>
          <w:lang w:val="en-GB"/>
        </w:rPr>
        <w:t xml:space="preserve">In the US, groundwater chemistry monitoring programmes are relied on to identify conditions </w:t>
      </w:r>
      <w:r w:rsidR="0080248D">
        <w:rPr>
          <w:rStyle w:val="fontstyle01"/>
          <w:rFonts w:ascii="Times New Roman" w:hAnsi="Times New Roman" w:cs="Times New Roman"/>
          <w:sz w:val="24"/>
          <w:szCs w:val="24"/>
          <w:lang w:val="en-GB"/>
        </w:rPr>
        <w:t xml:space="preserve">conducive to below-grade (underground) ageing mechanisms, such as corrosion of embedded steel and </w:t>
      </w:r>
      <w:r w:rsidR="00E855D2">
        <w:rPr>
          <w:rStyle w:val="fontstyle01"/>
          <w:rFonts w:ascii="Times New Roman" w:hAnsi="Times New Roman" w:cs="Times New Roman"/>
          <w:sz w:val="24"/>
          <w:szCs w:val="24"/>
          <w:lang w:val="en-GB"/>
        </w:rPr>
        <w:t xml:space="preserve">chemical attack (chloride and </w:t>
      </w:r>
      <w:r w:rsidR="00156219">
        <w:rPr>
          <w:rStyle w:val="fontstyle01"/>
          <w:rFonts w:ascii="Times New Roman" w:hAnsi="Times New Roman" w:cs="Times New Roman"/>
          <w:sz w:val="24"/>
          <w:szCs w:val="24"/>
          <w:lang w:val="en-GB"/>
        </w:rPr>
        <w:t>sulphate</w:t>
      </w:r>
      <w:r w:rsidR="00E855D2">
        <w:rPr>
          <w:rStyle w:val="fontstyle01"/>
          <w:rFonts w:ascii="Times New Roman" w:hAnsi="Times New Roman" w:cs="Times New Roman"/>
          <w:sz w:val="24"/>
          <w:szCs w:val="24"/>
          <w:lang w:val="en-GB"/>
        </w:rPr>
        <w:t xml:space="preserve"> induced degradation).</w:t>
      </w:r>
    </w:p>
    <w:p w14:paraId="7FA9C090" w14:textId="009AECF2" w:rsidR="00807803" w:rsidRPr="00942EDA" w:rsidRDefault="0041076F" w:rsidP="009978AD">
      <w:pPr>
        <w:spacing w:before="120" w:after="120" w:line="240" w:lineRule="auto"/>
        <w:jc w:val="both"/>
        <w:rPr>
          <w:rStyle w:val="fontstyle01"/>
          <w:rFonts w:ascii="Times New Roman" w:hAnsi="Times New Roman" w:cs="Times New Roman"/>
          <w:sz w:val="24"/>
          <w:szCs w:val="24"/>
          <w:lang w:val="en-GB"/>
        </w:rPr>
      </w:pPr>
      <w:r w:rsidRPr="00942EDA">
        <w:rPr>
          <w:rStyle w:val="fontstyle01"/>
          <w:rFonts w:ascii="Times New Roman" w:hAnsi="Times New Roman" w:cs="Times New Roman"/>
          <w:sz w:val="24"/>
          <w:szCs w:val="24"/>
          <w:lang w:val="en-GB"/>
        </w:rPr>
        <w:t>A</w:t>
      </w:r>
      <w:r w:rsidR="005B093E" w:rsidRPr="00942EDA">
        <w:rPr>
          <w:rStyle w:val="fontstyle01"/>
          <w:rFonts w:ascii="Times New Roman" w:hAnsi="Times New Roman" w:cs="Times New Roman"/>
          <w:sz w:val="24"/>
          <w:szCs w:val="24"/>
          <w:lang w:val="en-GB"/>
        </w:rPr>
        <w:t xml:space="preserve">bove ground </w:t>
      </w:r>
      <w:r w:rsidR="00726B02" w:rsidRPr="00942EDA">
        <w:rPr>
          <w:rStyle w:val="fontstyle01"/>
          <w:rFonts w:ascii="Times New Roman" w:hAnsi="Times New Roman" w:cs="Times New Roman"/>
          <w:sz w:val="24"/>
          <w:szCs w:val="24"/>
          <w:lang w:val="en-GB"/>
        </w:rPr>
        <w:t xml:space="preserve">concrete structures </w:t>
      </w:r>
      <w:r w:rsidR="005B093E" w:rsidRPr="00942EDA">
        <w:rPr>
          <w:rStyle w:val="fontstyle01"/>
          <w:rFonts w:ascii="Times New Roman" w:hAnsi="Times New Roman" w:cs="Times New Roman"/>
          <w:sz w:val="24"/>
          <w:szCs w:val="24"/>
          <w:lang w:val="en-GB"/>
        </w:rPr>
        <w:t>offer advantages of accessibility for periodic examination. However, they present challenges for selecting non-destructive</w:t>
      </w:r>
      <w:r w:rsidR="009D3BF7" w:rsidRPr="00942EDA">
        <w:rPr>
          <w:rStyle w:val="fontstyle01"/>
          <w:rFonts w:ascii="Times New Roman" w:hAnsi="Times New Roman" w:cs="Times New Roman"/>
          <w:sz w:val="24"/>
          <w:szCs w:val="24"/>
          <w:lang w:val="en-GB"/>
        </w:rPr>
        <w:t xml:space="preserve"> </w:t>
      </w:r>
      <w:r w:rsidR="005B093E" w:rsidRPr="00942EDA">
        <w:rPr>
          <w:rStyle w:val="fontstyle01"/>
          <w:rFonts w:ascii="Times New Roman" w:hAnsi="Times New Roman" w:cs="Times New Roman"/>
          <w:sz w:val="24"/>
          <w:szCs w:val="24"/>
          <w:lang w:val="en-GB"/>
        </w:rPr>
        <w:t>techniques for examinations due to such factors as large thickness of concrete walls</w:t>
      </w:r>
      <w:r w:rsidR="00726B02" w:rsidRPr="00942EDA">
        <w:rPr>
          <w:rStyle w:val="fontstyle01"/>
          <w:rFonts w:ascii="Times New Roman" w:hAnsi="Times New Roman" w:cs="Times New Roman"/>
          <w:sz w:val="24"/>
          <w:szCs w:val="24"/>
          <w:lang w:val="en-GB"/>
        </w:rPr>
        <w:t xml:space="preserve"> and</w:t>
      </w:r>
      <w:r w:rsidR="005B093E" w:rsidRPr="00942EDA">
        <w:rPr>
          <w:rStyle w:val="fontstyle01"/>
          <w:rFonts w:ascii="Times New Roman" w:hAnsi="Times New Roman" w:cs="Times New Roman"/>
          <w:sz w:val="24"/>
          <w:szCs w:val="24"/>
          <w:lang w:val="en-GB"/>
        </w:rPr>
        <w:t xml:space="preserve"> congested r</w:t>
      </w:r>
      <w:r w:rsidR="00B74F21" w:rsidRPr="00942EDA">
        <w:rPr>
          <w:rStyle w:val="fontstyle01"/>
          <w:rFonts w:ascii="Times New Roman" w:hAnsi="Times New Roman" w:cs="Times New Roman"/>
          <w:sz w:val="24"/>
          <w:szCs w:val="24"/>
          <w:lang w:val="en-GB"/>
        </w:rPr>
        <w:t>einforcement layout</w:t>
      </w:r>
      <w:r w:rsidR="005B093E" w:rsidRPr="00942EDA">
        <w:rPr>
          <w:rStyle w:val="fontstyle01"/>
          <w:rFonts w:ascii="Times New Roman" w:hAnsi="Times New Roman" w:cs="Times New Roman"/>
          <w:sz w:val="24"/>
          <w:szCs w:val="24"/>
          <w:lang w:val="en-GB"/>
        </w:rPr>
        <w:t>.</w:t>
      </w:r>
    </w:p>
    <w:p w14:paraId="2E4D45F1" w14:textId="5C106E49" w:rsidR="00851B6E" w:rsidRPr="009B4CBE" w:rsidRDefault="005B093E" w:rsidP="009978AD">
      <w:pPr>
        <w:spacing w:before="120" w:after="120" w:line="240" w:lineRule="auto"/>
        <w:jc w:val="both"/>
        <w:rPr>
          <w:rStyle w:val="fontstyle01"/>
          <w:rFonts w:ascii="Times New Roman" w:hAnsi="Times New Roman" w:cs="Times New Roman"/>
          <w:color w:val="auto"/>
          <w:sz w:val="24"/>
          <w:szCs w:val="24"/>
          <w:lang w:val="en-GB"/>
        </w:rPr>
      </w:pPr>
      <w:r w:rsidRPr="00942EDA">
        <w:rPr>
          <w:rStyle w:val="fontstyle01"/>
          <w:rFonts w:ascii="Times New Roman" w:hAnsi="Times New Roman" w:cs="Times New Roman"/>
          <w:sz w:val="24"/>
          <w:szCs w:val="24"/>
          <w:lang w:val="en-GB"/>
        </w:rPr>
        <w:t>To overcome these limitations, a variety of techniques including visual and non-destructive techniques as well</w:t>
      </w:r>
      <w:r w:rsidR="009D3BF7" w:rsidRPr="00942EDA">
        <w:rPr>
          <w:rStyle w:val="fontstyle01"/>
          <w:rFonts w:ascii="Times New Roman" w:hAnsi="Times New Roman" w:cs="Times New Roman"/>
          <w:sz w:val="24"/>
          <w:szCs w:val="24"/>
          <w:lang w:val="en-GB"/>
        </w:rPr>
        <w:t xml:space="preserve"> </w:t>
      </w:r>
      <w:r w:rsidRPr="00942EDA">
        <w:rPr>
          <w:rStyle w:val="fontstyle01"/>
          <w:rFonts w:ascii="Times New Roman" w:hAnsi="Times New Roman" w:cs="Times New Roman"/>
          <w:sz w:val="24"/>
          <w:szCs w:val="24"/>
          <w:lang w:val="en-GB"/>
        </w:rPr>
        <w:t>as laboratory analyses of recovered samples were used to compliments each other to provide reliable data.</w:t>
      </w:r>
      <w:r w:rsidR="009D3BF7" w:rsidRPr="00942EDA">
        <w:rPr>
          <w:rStyle w:val="fontstyle01"/>
          <w:rFonts w:ascii="Times New Roman" w:hAnsi="Times New Roman" w:cs="Times New Roman"/>
          <w:sz w:val="24"/>
          <w:szCs w:val="24"/>
          <w:lang w:val="en-GB"/>
        </w:rPr>
        <w:t xml:space="preserve"> </w:t>
      </w:r>
      <w:r w:rsidR="00F0585E" w:rsidRPr="00942EDA">
        <w:rPr>
          <w:rStyle w:val="fontstyle01"/>
          <w:rFonts w:ascii="Times New Roman" w:hAnsi="Times New Roman" w:cs="Times New Roman"/>
          <w:sz w:val="24"/>
          <w:szCs w:val="24"/>
          <w:lang w:val="en-GB"/>
        </w:rPr>
        <w:t xml:space="preserve">Some common non-destructive </w:t>
      </w:r>
      <w:r w:rsidR="009134F5" w:rsidRPr="00942EDA">
        <w:rPr>
          <w:rStyle w:val="fontstyle01"/>
          <w:rFonts w:ascii="Times New Roman" w:hAnsi="Times New Roman" w:cs="Times New Roman"/>
          <w:sz w:val="24"/>
          <w:szCs w:val="24"/>
          <w:lang w:val="en-GB"/>
        </w:rPr>
        <w:t>techniques</w:t>
      </w:r>
      <w:r w:rsidR="00F0585E" w:rsidRPr="00942EDA">
        <w:rPr>
          <w:rStyle w:val="fontstyle01"/>
          <w:rFonts w:ascii="Times New Roman" w:hAnsi="Times New Roman" w:cs="Times New Roman"/>
          <w:sz w:val="24"/>
          <w:szCs w:val="24"/>
          <w:lang w:val="en-GB"/>
        </w:rPr>
        <w:t xml:space="preserve"> are highlighted </w:t>
      </w:r>
      <w:r w:rsidR="009134F5" w:rsidRPr="00942EDA">
        <w:rPr>
          <w:rStyle w:val="fontstyle01"/>
          <w:rFonts w:ascii="Times New Roman" w:hAnsi="Times New Roman" w:cs="Times New Roman"/>
          <w:sz w:val="24"/>
          <w:szCs w:val="24"/>
          <w:lang w:val="en-GB"/>
        </w:rPr>
        <w:t>below</w:t>
      </w:r>
      <w:r w:rsidR="00511210">
        <w:rPr>
          <w:rStyle w:val="fontstyle01"/>
          <w:rFonts w:ascii="Times New Roman" w:hAnsi="Times New Roman" w:cs="Times New Roman"/>
          <w:sz w:val="24"/>
          <w:szCs w:val="24"/>
          <w:lang w:val="en-GB"/>
        </w:rPr>
        <w:t>:</w:t>
      </w:r>
      <w:r w:rsidR="009D3BF7" w:rsidRPr="00942EDA">
        <w:rPr>
          <w:rStyle w:val="fontstyle01"/>
          <w:rFonts w:ascii="Times New Roman" w:hAnsi="Times New Roman" w:cs="Times New Roman"/>
          <w:sz w:val="24"/>
          <w:szCs w:val="24"/>
          <w:lang w:val="en-GB"/>
        </w:rPr>
        <w:t xml:space="preserve"> </w:t>
      </w:r>
      <w:r w:rsidR="00B76338">
        <w:rPr>
          <w:rStyle w:val="fontstyle01"/>
          <w:rFonts w:ascii="Times New Roman" w:hAnsi="Times New Roman" w:cs="Times New Roman"/>
          <w:sz w:val="24"/>
          <w:szCs w:val="24"/>
          <w:lang w:val="en-GB"/>
        </w:rPr>
        <w:t>u</w:t>
      </w:r>
      <w:r w:rsidR="009134F5" w:rsidRPr="00942EDA">
        <w:rPr>
          <w:rStyle w:val="fontstyle01"/>
          <w:rFonts w:ascii="Times New Roman" w:hAnsi="Times New Roman" w:cs="Times New Roman"/>
          <w:sz w:val="24"/>
          <w:szCs w:val="24"/>
          <w:lang w:val="en-GB"/>
        </w:rPr>
        <w:t>ltra-sonic pulse method</w:t>
      </w:r>
      <w:r w:rsidRPr="00942EDA">
        <w:rPr>
          <w:rStyle w:val="fontstyle01"/>
          <w:rFonts w:ascii="Times New Roman" w:hAnsi="Times New Roman" w:cs="Times New Roman"/>
          <w:sz w:val="24"/>
          <w:szCs w:val="24"/>
          <w:lang w:val="en-GB"/>
        </w:rPr>
        <w:t>, GPR</w:t>
      </w:r>
      <w:r w:rsidR="003E49D6">
        <w:rPr>
          <w:rStyle w:val="fontstyle01"/>
          <w:rFonts w:ascii="Times New Roman" w:hAnsi="Times New Roman" w:cs="Times New Roman"/>
          <w:sz w:val="24"/>
          <w:szCs w:val="24"/>
          <w:lang w:val="en-GB"/>
        </w:rPr>
        <w:t>,</w:t>
      </w:r>
      <w:r w:rsidRPr="00942EDA">
        <w:rPr>
          <w:rStyle w:val="fontstyle01"/>
          <w:rFonts w:ascii="Times New Roman" w:hAnsi="Times New Roman" w:cs="Times New Roman"/>
          <w:sz w:val="24"/>
          <w:szCs w:val="24"/>
          <w:lang w:val="en-GB"/>
        </w:rPr>
        <w:t xml:space="preserve"> and impact hammer, as well as semi-destructive half-cell potential </w:t>
      </w:r>
      <w:r w:rsidRPr="009B4CBE">
        <w:rPr>
          <w:rStyle w:val="fontstyle01"/>
          <w:rFonts w:ascii="Times New Roman" w:hAnsi="Times New Roman" w:cs="Times New Roman"/>
          <w:color w:val="auto"/>
          <w:sz w:val="24"/>
          <w:szCs w:val="24"/>
          <w:lang w:val="en-GB"/>
        </w:rPr>
        <w:t>test</w:t>
      </w:r>
      <w:r w:rsidR="00B74F21" w:rsidRPr="009B4CBE">
        <w:rPr>
          <w:rStyle w:val="fontstyle01"/>
          <w:rFonts w:ascii="Times New Roman" w:hAnsi="Times New Roman" w:cs="Times New Roman"/>
          <w:color w:val="auto"/>
          <w:sz w:val="24"/>
          <w:szCs w:val="24"/>
          <w:lang w:val="en-GB"/>
        </w:rPr>
        <w:t xml:space="preserve"> </w:t>
      </w:r>
      <w:r w:rsidR="00027341">
        <w:rPr>
          <w:rStyle w:val="fontstyle01"/>
          <w:rFonts w:ascii="Times New Roman" w:hAnsi="Times New Roman" w:cs="Times New Roman"/>
          <w:color w:val="auto"/>
          <w:sz w:val="24"/>
          <w:szCs w:val="24"/>
          <w:lang w:val="en-GB"/>
        </w:rPr>
        <w:fldChar w:fldCharType="begin"/>
      </w:r>
      <w:r w:rsidR="00027341">
        <w:rPr>
          <w:rStyle w:val="fontstyle01"/>
          <w:rFonts w:ascii="Times New Roman" w:hAnsi="Times New Roman" w:cs="Times New Roman"/>
          <w:color w:val="auto"/>
          <w:sz w:val="24"/>
          <w:szCs w:val="24"/>
          <w:lang w:val="en-GB"/>
        </w:rPr>
        <w:instrText xml:space="preserve"> REF _Ref156400153 \r \h </w:instrText>
      </w:r>
      <w:r w:rsidR="00027341">
        <w:rPr>
          <w:rStyle w:val="fontstyle01"/>
          <w:rFonts w:ascii="Times New Roman" w:hAnsi="Times New Roman" w:cs="Times New Roman"/>
          <w:color w:val="auto"/>
          <w:sz w:val="24"/>
          <w:szCs w:val="24"/>
          <w:lang w:val="en-GB"/>
        </w:rPr>
      </w:r>
      <w:r w:rsidR="00027341">
        <w:rPr>
          <w:rStyle w:val="fontstyle01"/>
          <w:rFonts w:ascii="Times New Roman" w:hAnsi="Times New Roman" w:cs="Times New Roman"/>
          <w:color w:val="auto"/>
          <w:sz w:val="24"/>
          <w:szCs w:val="24"/>
          <w:lang w:val="en-GB"/>
        </w:rPr>
        <w:fldChar w:fldCharType="separate"/>
      </w:r>
      <w:r w:rsidR="00027341">
        <w:rPr>
          <w:rStyle w:val="fontstyle01"/>
          <w:rFonts w:ascii="Times New Roman" w:hAnsi="Times New Roman" w:cs="Times New Roman"/>
          <w:color w:val="auto"/>
          <w:sz w:val="24"/>
          <w:szCs w:val="24"/>
          <w:lang w:val="en-GB"/>
        </w:rPr>
        <w:t>[6]</w:t>
      </w:r>
      <w:r w:rsidR="00027341">
        <w:rPr>
          <w:rStyle w:val="fontstyle01"/>
          <w:rFonts w:ascii="Times New Roman" w:hAnsi="Times New Roman" w:cs="Times New Roman"/>
          <w:color w:val="auto"/>
          <w:sz w:val="24"/>
          <w:szCs w:val="24"/>
          <w:lang w:val="en-GB"/>
        </w:rPr>
        <w:fldChar w:fldCharType="end"/>
      </w:r>
      <w:r w:rsidRPr="00CA114A">
        <w:rPr>
          <w:rStyle w:val="fontstyle01"/>
          <w:rFonts w:ascii="Times New Roman" w:hAnsi="Times New Roman" w:cs="Times New Roman"/>
          <w:color w:val="auto"/>
          <w:sz w:val="24"/>
          <w:szCs w:val="24"/>
          <w:lang w:val="en-GB"/>
        </w:rPr>
        <w:t>.</w:t>
      </w:r>
    </w:p>
    <w:p w14:paraId="658106E4" w14:textId="77777777" w:rsidR="004F7A25" w:rsidRPr="00942EDA" w:rsidRDefault="009134F5" w:rsidP="009978AD">
      <w:pPr>
        <w:spacing w:before="120" w:after="120" w:line="240" w:lineRule="auto"/>
        <w:jc w:val="both"/>
        <w:rPr>
          <w:rFonts w:ascii="Times New Roman" w:hAnsi="Times New Roman" w:cs="Times New Roman"/>
          <w:b/>
          <w:bCs/>
          <w:i/>
          <w:iCs/>
          <w:sz w:val="24"/>
          <w:lang w:val="en-GB"/>
        </w:rPr>
      </w:pPr>
      <w:r w:rsidRPr="00942EDA">
        <w:rPr>
          <w:rFonts w:ascii="Times New Roman" w:hAnsi="Times New Roman" w:cs="Times New Roman"/>
          <w:b/>
          <w:bCs/>
          <w:i/>
          <w:iCs/>
          <w:sz w:val="24"/>
          <w:lang w:val="en-GB"/>
        </w:rPr>
        <w:t>U</w:t>
      </w:r>
      <w:r w:rsidR="009F0B70" w:rsidRPr="00942EDA">
        <w:rPr>
          <w:rFonts w:ascii="Times New Roman" w:hAnsi="Times New Roman" w:cs="Times New Roman"/>
          <w:b/>
          <w:bCs/>
          <w:i/>
          <w:iCs/>
          <w:sz w:val="24"/>
          <w:lang w:val="en-GB"/>
        </w:rPr>
        <w:t xml:space="preserve">ltra-sonic pulse </w:t>
      </w:r>
      <w:r w:rsidRPr="00942EDA">
        <w:rPr>
          <w:rFonts w:ascii="Times New Roman" w:hAnsi="Times New Roman" w:cs="Times New Roman"/>
          <w:b/>
          <w:bCs/>
          <w:i/>
          <w:iCs/>
          <w:sz w:val="24"/>
          <w:lang w:val="en-GB"/>
        </w:rPr>
        <w:t>method</w:t>
      </w:r>
    </w:p>
    <w:p w14:paraId="21F23897" w14:textId="42280576" w:rsidR="004F7A25" w:rsidRPr="00942EDA" w:rsidRDefault="004F7A25" w:rsidP="009978AD">
      <w:pPr>
        <w:spacing w:before="120" w:after="120" w:line="240" w:lineRule="auto"/>
        <w:jc w:val="both"/>
        <w:rPr>
          <w:rStyle w:val="fontstyle01"/>
          <w:rFonts w:ascii="Times New Roman" w:hAnsi="Times New Roman" w:cs="Times New Roman"/>
          <w:sz w:val="24"/>
          <w:lang w:val="en-GB"/>
        </w:rPr>
      </w:pPr>
      <w:r w:rsidRPr="00942EDA">
        <w:rPr>
          <w:rFonts w:ascii="Times New Roman" w:hAnsi="Times New Roman" w:cs="Times New Roman"/>
          <w:color w:val="000000"/>
          <w:sz w:val="24"/>
          <w:lang w:val="en-GB"/>
        </w:rPr>
        <w:t>The method uses stress (sound) waves generated by mechanical impact produced by tapping a small steel ball on the surface of concrete. This generates low frequency stress waves that are reflected by internal flaws or the external surfaces of the embedded component (</w:t>
      </w:r>
      <w:proofErr w:type="gramStart"/>
      <w:r w:rsidRPr="00942EDA">
        <w:rPr>
          <w:rFonts w:ascii="Times New Roman" w:hAnsi="Times New Roman" w:cs="Times New Roman"/>
          <w:color w:val="000000"/>
          <w:sz w:val="24"/>
          <w:lang w:val="en-GB"/>
        </w:rPr>
        <w:t>i.e.</w:t>
      </w:r>
      <w:proofErr w:type="gramEnd"/>
      <w:r w:rsidRPr="00942EDA">
        <w:rPr>
          <w:rFonts w:ascii="Times New Roman" w:hAnsi="Times New Roman" w:cs="Times New Roman"/>
          <w:color w:val="000000"/>
          <w:sz w:val="24"/>
          <w:lang w:val="en-GB"/>
        </w:rPr>
        <w:t xml:space="preserve"> reinforcement). The pattern of waves depends on the geometry of the component. Where flaws or embedded materials are </w:t>
      </w:r>
      <w:r w:rsidR="003F0A93" w:rsidRPr="00942EDA">
        <w:rPr>
          <w:rFonts w:ascii="Times New Roman" w:hAnsi="Times New Roman" w:cs="Times New Roman"/>
          <w:color w:val="000000"/>
          <w:sz w:val="24"/>
          <w:lang w:val="en-GB"/>
        </w:rPr>
        <w:t>present,</w:t>
      </w:r>
      <w:r w:rsidRPr="00942EDA">
        <w:rPr>
          <w:rFonts w:ascii="Times New Roman" w:hAnsi="Times New Roman" w:cs="Times New Roman"/>
          <w:color w:val="000000"/>
          <w:sz w:val="24"/>
          <w:lang w:val="en-GB"/>
        </w:rPr>
        <w:t xml:space="preserve"> they disrupt the distinctive pattern providing both qualitative and quantitative information about the existence and location of potential flaws.</w:t>
      </w:r>
    </w:p>
    <w:p w14:paraId="6471B193" w14:textId="59B92EFB" w:rsidR="004F7A25" w:rsidRPr="00942EDA" w:rsidRDefault="004F7A25" w:rsidP="009978AD">
      <w:pPr>
        <w:spacing w:before="120" w:after="120" w:line="240" w:lineRule="auto"/>
        <w:jc w:val="both"/>
        <w:rPr>
          <w:rFonts w:ascii="Times New Roman" w:hAnsi="Times New Roman" w:cs="Times New Roman"/>
          <w:color w:val="000000"/>
          <w:sz w:val="24"/>
          <w:lang w:val="en-GB"/>
        </w:rPr>
      </w:pPr>
      <w:r w:rsidRPr="00942EDA">
        <w:rPr>
          <w:rFonts w:ascii="Times New Roman" w:hAnsi="Times New Roman" w:cs="Times New Roman"/>
          <w:color w:val="000000"/>
          <w:sz w:val="24"/>
          <w:lang w:val="en-GB"/>
        </w:rPr>
        <w:t xml:space="preserve">Assessment of the speed of travel of the stress wave enables the thickness of the component to be determined. This is dependent on the nature of the material, </w:t>
      </w:r>
      <w:r w:rsidR="003F0A93" w:rsidRPr="00942EDA">
        <w:rPr>
          <w:rFonts w:ascii="Times New Roman" w:hAnsi="Times New Roman" w:cs="Times New Roman"/>
          <w:color w:val="000000"/>
          <w:sz w:val="24"/>
          <w:lang w:val="en-GB"/>
        </w:rPr>
        <w:t>e.g.,</w:t>
      </w:r>
      <w:r w:rsidRPr="00942EDA">
        <w:rPr>
          <w:rFonts w:ascii="Times New Roman" w:hAnsi="Times New Roman" w:cs="Times New Roman"/>
          <w:color w:val="000000"/>
          <w:sz w:val="24"/>
          <w:lang w:val="en-GB"/>
        </w:rPr>
        <w:t xml:space="preserve"> </w:t>
      </w:r>
      <w:r w:rsidR="003F0A93">
        <w:rPr>
          <w:rFonts w:ascii="Times New Roman" w:hAnsi="Times New Roman" w:cs="Times New Roman"/>
          <w:color w:val="000000"/>
          <w:sz w:val="24"/>
          <w:lang w:val="en-GB"/>
        </w:rPr>
        <w:t xml:space="preserve">the </w:t>
      </w:r>
      <w:r w:rsidRPr="00942EDA">
        <w:rPr>
          <w:rFonts w:ascii="Times New Roman" w:hAnsi="Times New Roman" w:cs="Times New Roman"/>
          <w:color w:val="000000"/>
          <w:sz w:val="24"/>
          <w:lang w:val="en-GB"/>
        </w:rPr>
        <w:t>speed is faster through high strength concrete than through the low strength concrete. Micro cracking, if present, can significantly reduce the speed.</w:t>
      </w:r>
    </w:p>
    <w:p w14:paraId="78B6417F" w14:textId="77777777" w:rsidR="005546ED" w:rsidRPr="00942EDA" w:rsidRDefault="004F7A25" w:rsidP="009978AD">
      <w:pPr>
        <w:spacing w:before="120" w:after="120" w:line="240" w:lineRule="auto"/>
        <w:jc w:val="both"/>
        <w:rPr>
          <w:rFonts w:ascii="Times New Roman" w:hAnsi="Times New Roman" w:cs="Times New Roman"/>
          <w:b/>
          <w:bCs/>
          <w:i/>
          <w:iCs/>
          <w:color w:val="000000"/>
          <w:sz w:val="24"/>
          <w:lang w:val="en-GB"/>
        </w:rPr>
      </w:pPr>
      <w:r w:rsidRPr="00942EDA">
        <w:rPr>
          <w:rFonts w:ascii="Times New Roman" w:hAnsi="Times New Roman" w:cs="Times New Roman"/>
          <w:b/>
          <w:bCs/>
          <w:i/>
          <w:iCs/>
          <w:color w:val="000000"/>
          <w:sz w:val="24"/>
          <w:lang w:val="en-GB"/>
        </w:rPr>
        <w:t>Ground penetrating radar</w:t>
      </w:r>
    </w:p>
    <w:p w14:paraId="02FB90F6" w14:textId="0E1C5586" w:rsidR="004F7A25" w:rsidRPr="00942EDA" w:rsidRDefault="00224EEE" w:rsidP="009978AD">
      <w:pPr>
        <w:spacing w:before="120" w:after="120" w:line="240" w:lineRule="auto"/>
        <w:jc w:val="both"/>
        <w:rPr>
          <w:rFonts w:ascii="Times New Roman" w:hAnsi="Times New Roman" w:cs="Times New Roman"/>
          <w:color w:val="000000"/>
          <w:sz w:val="24"/>
          <w:lang w:val="en-GB"/>
        </w:rPr>
      </w:pPr>
      <w:r>
        <w:rPr>
          <w:rFonts w:ascii="Times New Roman" w:hAnsi="Times New Roman" w:cs="Times New Roman"/>
          <w:color w:val="000000"/>
          <w:sz w:val="24"/>
          <w:lang w:val="en-GB"/>
        </w:rPr>
        <w:t xml:space="preserve">The </w:t>
      </w:r>
      <w:r w:rsidR="004F7A25" w:rsidRPr="00942EDA">
        <w:rPr>
          <w:rFonts w:ascii="Times New Roman" w:hAnsi="Times New Roman" w:cs="Times New Roman"/>
          <w:color w:val="000000"/>
          <w:sz w:val="24"/>
          <w:lang w:val="en-GB"/>
        </w:rPr>
        <w:t>GPR technique was originally developed for mapping geological features. It is now increasingly used in</w:t>
      </w:r>
      <w:r w:rsidR="009D3BF7" w:rsidRPr="00942EDA">
        <w:rPr>
          <w:rFonts w:ascii="Times New Roman" w:hAnsi="Times New Roman" w:cs="Times New Roman"/>
          <w:color w:val="000000"/>
          <w:sz w:val="24"/>
          <w:lang w:val="en-GB"/>
        </w:rPr>
        <w:t xml:space="preserve"> </w:t>
      </w:r>
      <w:r w:rsidR="004F7A25" w:rsidRPr="00942EDA">
        <w:rPr>
          <w:rFonts w:ascii="Times New Roman" w:hAnsi="Times New Roman" w:cs="Times New Roman"/>
          <w:color w:val="000000"/>
          <w:sz w:val="24"/>
          <w:lang w:val="en-GB"/>
        </w:rPr>
        <w:t>concrete and offers a unique non-invasive and non-destructive means for the</w:t>
      </w:r>
      <w:r w:rsidR="009D3BF7" w:rsidRPr="00942EDA">
        <w:rPr>
          <w:rFonts w:ascii="Times New Roman" w:hAnsi="Times New Roman" w:cs="Times New Roman"/>
          <w:color w:val="000000"/>
          <w:sz w:val="24"/>
          <w:lang w:val="en-GB"/>
        </w:rPr>
        <w:t xml:space="preserve"> </w:t>
      </w:r>
      <w:r w:rsidR="004F7A25" w:rsidRPr="00942EDA">
        <w:rPr>
          <w:rFonts w:ascii="Times New Roman" w:hAnsi="Times New Roman" w:cs="Times New Roman"/>
          <w:color w:val="000000"/>
          <w:sz w:val="24"/>
          <w:lang w:val="en-GB"/>
        </w:rPr>
        <w:t>characterisation of features</w:t>
      </w:r>
      <w:r w:rsidR="009D3BF7" w:rsidRPr="00942EDA">
        <w:rPr>
          <w:rFonts w:ascii="Times New Roman" w:hAnsi="Times New Roman" w:cs="Times New Roman"/>
          <w:color w:val="000000"/>
          <w:sz w:val="24"/>
          <w:lang w:val="en-GB"/>
        </w:rPr>
        <w:t xml:space="preserve"> </w:t>
      </w:r>
      <w:r w:rsidR="004F7A25" w:rsidRPr="00942EDA">
        <w:rPr>
          <w:rFonts w:ascii="Times New Roman" w:hAnsi="Times New Roman" w:cs="Times New Roman"/>
          <w:color w:val="000000"/>
          <w:sz w:val="24"/>
          <w:lang w:val="en-GB"/>
        </w:rPr>
        <w:t>buried in concrete as well as some types of concrete defects.</w:t>
      </w:r>
      <w:r>
        <w:rPr>
          <w:rFonts w:ascii="Times New Roman" w:hAnsi="Times New Roman" w:cs="Times New Roman"/>
          <w:color w:val="000000"/>
          <w:sz w:val="24"/>
          <w:lang w:val="en-GB"/>
        </w:rPr>
        <w:t xml:space="preserve"> The </w:t>
      </w:r>
      <w:r w:rsidR="004F7A25" w:rsidRPr="00942EDA">
        <w:rPr>
          <w:rFonts w:ascii="Times New Roman" w:hAnsi="Times New Roman" w:cs="Times New Roman"/>
          <w:color w:val="000000"/>
          <w:sz w:val="24"/>
          <w:lang w:val="en-GB"/>
        </w:rPr>
        <w:t>GPR system generates electromagnetic signals and detects the electromagnetic field interaction with</w:t>
      </w:r>
      <w:r w:rsidR="009D3BF7" w:rsidRPr="00942EDA">
        <w:rPr>
          <w:rFonts w:ascii="Times New Roman" w:hAnsi="Times New Roman" w:cs="Times New Roman"/>
          <w:color w:val="000000"/>
          <w:sz w:val="24"/>
          <w:lang w:val="en-GB"/>
        </w:rPr>
        <w:t xml:space="preserve"> </w:t>
      </w:r>
      <w:r w:rsidR="004F7A25" w:rsidRPr="00942EDA">
        <w:rPr>
          <w:rFonts w:ascii="Times New Roman" w:hAnsi="Times New Roman" w:cs="Times New Roman"/>
          <w:color w:val="000000"/>
          <w:sz w:val="24"/>
          <w:lang w:val="en-GB"/>
        </w:rPr>
        <w:t xml:space="preserve">the surrounding material. It utilises an antenna (comprising a transmitter and receiver located at a </w:t>
      </w:r>
      <w:r w:rsidRPr="00942EDA">
        <w:rPr>
          <w:rFonts w:ascii="Times New Roman" w:hAnsi="Times New Roman" w:cs="Times New Roman"/>
          <w:color w:val="000000"/>
          <w:sz w:val="24"/>
          <w:lang w:val="en-GB"/>
        </w:rPr>
        <w:t>small, fixed</w:t>
      </w:r>
      <w:r w:rsidR="004F7A25" w:rsidRPr="00942EDA">
        <w:rPr>
          <w:rFonts w:ascii="Times New Roman" w:hAnsi="Times New Roman" w:cs="Times New Roman"/>
          <w:color w:val="000000"/>
          <w:sz w:val="24"/>
          <w:lang w:val="en-GB"/>
        </w:rPr>
        <w:t xml:space="preserve"> distance apart) to send electromagnetic waves into the concrete. The antenna is moved </w:t>
      </w:r>
      <w:r w:rsidR="004F7A25" w:rsidRPr="00942EDA">
        <w:rPr>
          <w:rFonts w:ascii="Times New Roman" w:hAnsi="Times New Roman" w:cs="Times New Roman"/>
          <w:color w:val="000000"/>
          <w:sz w:val="24"/>
          <w:lang w:val="en-GB"/>
        </w:rPr>
        <w:lastRenderedPageBreak/>
        <w:t>over the surface of the concrete to be inspected. The transmitter sends a diverging beam of energy pulses into the concrete and the receiver collects the energy reflected from interfaces between materials of differing electrical properties. The reflected energy is recorded as a “pattern” on radargrams, which are displayed in real time.</w:t>
      </w:r>
    </w:p>
    <w:p w14:paraId="07F4EF88" w14:textId="77777777" w:rsidR="005546ED" w:rsidRPr="00942EDA" w:rsidRDefault="004F7A25" w:rsidP="009978AD">
      <w:pPr>
        <w:spacing w:before="120" w:after="120" w:line="240" w:lineRule="auto"/>
        <w:jc w:val="both"/>
        <w:rPr>
          <w:rFonts w:ascii="Times New Roman" w:hAnsi="Times New Roman" w:cs="Times New Roman"/>
          <w:b/>
          <w:bCs/>
          <w:i/>
          <w:iCs/>
          <w:color w:val="000000"/>
          <w:sz w:val="24"/>
          <w:lang w:val="en-GB"/>
        </w:rPr>
      </w:pPr>
      <w:r w:rsidRPr="00942EDA">
        <w:rPr>
          <w:rFonts w:ascii="Times New Roman" w:hAnsi="Times New Roman" w:cs="Times New Roman"/>
          <w:b/>
          <w:bCs/>
          <w:i/>
          <w:iCs/>
          <w:color w:val="000000"/>
          <w:sz w:val="24"/>
          <w:lang w:val="en-GB"/>
        </w:rPr>
        <w:t>Impact hammer</w:t>
      </w:r>
    </w:p>
    <w:p w14:paraId="5A95F6CB" w14:textId="0E5A4138" w:rsidR="00A54F06" w:rsidRPr="00942EDA" w:rsidRDefault="004F7A25" w:rsidP="009978AD">
      <w:pPr>
        <w:spacing w:before="120" w:after="120" w:line="240" w:lineRule="auto"/>
        <w:jc w:val="both"/>
        <w:rPr>
          <w:rFonts w:ascii="Times New Roman" w:hAnsi="Times New Roman" w:cs="Times New Roman"/>
          <w:color w:val="000000"/>
          <w:lang w:val="en-GB"/>
        </w:rPr>
      </w:pPr>
      <w:r w:rsidRPr="00942EDA">
        <w:rPr>
          <w:rFonts w:ascii="Times New Roman" w:hAnsi="Times New Roman" w:cs="Times New Roman"/>
          <w:color w:val="000000"/>
          <w:sz w:val="24"/>
          <w:lang w:val="en-GB"/>
        </w:rPr>
        <w:t>The principle of the impact hammer test is that the rebound of an elastic mass depends on the hardness of the surface against which the mass impinges. The greater the resistance of the concrete, the greater is the rebounded impact. This is a simple field test that enables comparison of the relative quality of the concrete cover.</w:t>
      </w:r>
    </w:p>
    <w:p w14:paraId="4629B808" w14:textId="77777777" w:rsidR="004F7A25" w:rsidRPr="00942EDA" w:rsidRDefault="004F7A25" w:rsidP="009978AD">
      <w:pPr>
        <w:spacing w:before="120" w:after="120" w:line="240" w:lineRule="auto"/>
        <w:jc w:val="both"/>
        <w:rPr>
          <w:rFonts w:ascii="Times New Roman" w:hAnsi="Times New Roman" w:cs="Times New Roman"/>
          <w:b/>
          <w:bCs/>
          <w:i/>
          <w:iCs/>
          <w:color w:val="000000"/>
          <w:sz w:val="24"/>
          <w:lang w:val="en-GB"/>
        </w:rPr>
      </w:pPr>
      <w:r w:rsidRPr="00942EDA">
        <w:rPr>
          <w:rFonts w:ascii="Times New Roman" w:hAnsi="Times New Roman" w:cs="Times New Roman"/>
          <w:b/>
          <w:bCs/>
          <w:i/>
          <w:iCs/>
          <w:color w:val="000000"/>
          <w:sz w:val="24"/>
          <w:lang w:val="en-GB"/>
        </w:rPr>
        <w:t>Half-cell potential</w:t>
      </w:r>
    </w:p>
    <w:p w14:paraId="3082C69D" w14:textId="5D3CE3D0" w:rsidR="004F7A25" w:rsidRDefault="004F7A25" w:rsidP="009978AD">
      <w:pPr>
        <w:spacing w:before="120" w:after="120" w:line="240" w:lineRule="auto"/>
        <w:jc w:val="both"/>
        <w:rPr>
          <w:rFonts w:ascii="Times New Roman" w:hAnsi="Times New Roman" w:cs="Times New Roman"/>
          <w:color w:val="000000"/>
          <w:sz w:val="24"/>
          <w:lang w:val="en-GB"/>
        </w:rPr>
      </w:pPr>
      <w:r w:rsidRPr="00942EDA">
        <w:rPr>
          <w:rFonts w:ascii="Times New Roman" w:hAnsi="Times New Roman" w:cs="Times New Roman"/>
          <w:color w:val="000000"/>
          <w:sz w:val="24"/>
          <w:lang w:val="en-GB"/>
        </w:rPr>
        <w:t>Half-cell potential is a very widely used technique that enables estimation of the probability of reinforcement corrosion in concrete.</w:t>
      </w:r>
      <w:r w:rsidR="009D3BF7" w:rsidRPr="00942EDA">
        <w:rPr>
          <w:rFonts w:ascii="Times New Roman" w:hAnsi="Times New Roman" w:cs="Times New Roman"/>
          <w:color w:val="000000"/>
          <w:sz w:val="24"/>
          <w:lang w:val="en-GB"/>
        </w:rPr>
        <w:t xml:space="preserve"> </w:t>
      </w:r>
      <w:r w:rsidRPr="00942EDA">
        <w:rPr>
          <w:rFonts w:ascii="Times New Roman" w:hAnsi="Times New Roman" w:cs="Times New Roman"/>
          <w:color w:val="000000"/>
          <w:sz w:val="24"/>
          <w:lang w:val="en-GB"/>
        </w:rPr>
        <w:t xml:space="preserve">As corrosion proceeds, some areas </w:t>
      </w:r>
      <w:proofErr w:type="spellStart"/>
      <w:r w:rsidRPr="00942EDA">
        <w:rPr>
          <w:rFonts w:ascii="Times New Roman" w:hAnsi="Times New Roman" w:cs="Times New Roman"/>
          <w:color w:val="000000"/>
          <w:sz w:val="24"/>
          <w:lang w:val="en-GB"/>
        </w:rPr>
        <w:t>depassivate</w:t>
      </w:r>
      <w:proofErr w:type="spellEnd"/>
      <w:r w:rsidRPr="00942EDA">
        <w:rPr>
          <w:rFonts w:ascii="Times New Roman" w:hAnsi="Times New Roman" w:cs="Times New Roman"/>
          <w:color w:val="000000"/>
          <w:sz w:val="24"/>
          <w:lang w:val="en-GB"/>
        </w:rPr>
        <w:t xml:space="preserve"> and become anodic, while others remain passive, thus</w:t>
      </w:r>
      <w:r w:rsidR="009D3BF7" w:rsidRPr="00942EDA">
        <w:rPr>
          <w:rFonts w:ascii="Times New Roman" w:hAnsi="Times New Roman" w:cs="Times New Roman"/>
          <w:color w:val="000000"/>
          <w:sz w:val="24"/>
          <w:lang w:val="en-GB"/>
        </w:rPr>
        <w:t xml:space="preserve"> </w:t>
      </w:r>
      <w:r w:rsidRPr="00942EDA">
        <w:rPr>
          <w:rFonts w:ascii="Times New Roman" w:hAnsi="Times New Roman" w:cs="Times New Roman"/>
          <w:color w:val="000000"/>
          <w:sz w:val="24"/>
          <w:lang w:val="en-GB"/>
        </w:rPr>
        <w:t xml:space="preserve">cathodic. The objective of half-cell potential test is to measure the areas of different potential on the surface of the concrete with respect to a stable reference cell </w:t>
      </w:r>
      <w:r w:rsidR="004B0B7C" w:rsidRPr="00942EDA">
        <w:rPr>
          <w:rFonts w:ascii="Times New Roman" w:hAnsi="Times New Roman" w:cs="Times New Roman"/>
          <w:color w:val="000000"/>
          <w:sz w:val="24"/>
          <w:lang w:val="en-GB"/>
        </w:rPr>
        <w:t>to</w:t>
      </w:r>
      <w:r w:rsidRPr="00942EDA">
        <w:rPr>
          <w:rFonts w:ascii="Times New Roman" w:hAnsi="Times New Roman" w:cs="Times New Roman"/>
          <w:color w:val="000000"/>
          <w:sz w:val="24"/>
          <w:lang w:val="en-GB"/>
        </w:rPr>
        <w:t xml:space="preserve"> identify and map anodic and cathodic areas.</w:t>
      </w:r>
      <w:r w:rsidR="004B0B7C">
        <w:rPr>
          <w:rFonts w:ascii="Times New Roman" w:hAnsi="Times New Roman" w:cs="Times New Roman"/>
          <w:color w:val="000000"/>
          <w:sz w:val="24"/>
          <w:lang w:val="en-GB"/>
        </w:rPr>
        <w:t xml:space="preserve"> </w:t>
      </w:r>
      <w:r w:rsidR="00824B11" w:rsidRPr="00942EDA">
        <w:rPr>
          <w:rFonts w:ascii="Times New Roman" w:hAnsi="Times New Roman" w:cs="Times New Roman"/>
          <w:color w:val="000000"/>
          <w:sz w:val="24"/>
          <w:lang w:val="en-GB"/>
        </w:rPr>
        <w:t>Generally,</w:t>
      </w:r>
      <w:r w:rsidRPr="00942EDA">
        <w:rPr>
          <w:rFonts w:ascii="Times New Roman" w:hAnsi="Times New Roman" w:cs="Times New Roman"/>
          <w:color w:val="000000"/>
          <w:sz w:val="24"/>
          <w:lang w:val="en-GB"/>
        </w:rPr>
        <w:t xml:space="preserve"> Cu/CuSO</w:t>
      </w:r>
      <w:r w:rsidRPr="00824B11">
        <w:rPr>
          <w:rFonts w:ascii="Times New Roman" w:hAnsi="Times New Roman" w:cs="Times New Roman"/>
          <w:color w:val="000000"/>
          <w:sz w:val="24"/>
          <w:vertAlign w:val="subscript"/>
          <w:lang w:val="en-GB"/>
        </w:rPr>
        <w:t>4</w:t>
      </w:r>
      <w:r w:rsidRPr="00942EDA">
        <w:rPr>
          <w:rFonts w:ascii="Times New Roman" w:hAnsi="Times New Roman" w:cs="Times New Roman"/>
          <w:color w:val="000000"/>
          <w:sz w:val="24"/>
          <w:lang w:val="en-GB"/>
        </w:rPr>
        <w:t xml:space="preserve"> cells are used as a standard reference cell. The relationship exists between calculated potential and probability of corrosion. The test requires connection to the reinforcement inside the structure.</w:t>
      </w:r>
    </w:p>
    <w:p w14:paraId="10D11233" w14:textId="77777777" w:rsidR="00280393" w:rsidRPr="00942EDA" w:rsidRDefault="00280393" w:rsidP="009978AD">
      <w:pPr>
        <w:spacing w:before="120" w:after="120" w:line="240" w:lineRule="auto"/>
        <w:jc w:val="both"/>
        <w:rPr>
          <w:rFonts w:ascii="Times New Roman" w:hAnsi="Times New Roman" w:cs="Times New Roman"/>
          <w:color w:val="000000"/>
          <w:sz w:val="24"/>
          <w:lang w:val="en-GB"/>
        </w:rPr>
      </w:pPr>
    </w:p>
    <w:p w14:paraId="240A3327" w14:textId="60DE118D" w:rsidR="00851B6E" w:rsidRPr="00942EDA" w:rsidRDefault="00851B6E" w:rsidP="009978AD">
      <w:pPr>
        <w:pStyle w:val="Default"/>
        <w:numPr>
          <w:ilvl w:val="0"/>
          <w:numId w:val="1"/>
        </w:numPr>
        <w:spacing w:before="120" w:after="120"/>
        <w:ind w:left="426" w:hanging="426"/>
        <w:jc w:val="both"/>
        <w:rPr>
          <w:rFonts w:ascii="Times New Roman" w:hAnsi="Times New Roman" w:cs="Times New Roman"/>
          <w:b/>
          <w:bCs/>
          <w:i/>
          <w:lang w:val="en-GB"/>
        </w:rPr>
      </w:pPr>
      <w:r w:rsidRPr="00942EDA">
        <w:rPr>
          <w:rFonts w:ascii="Times New Roman" w:hAnsi="Times New Roman" w:cs="Times New Roman"/>
          <w:b/>
          <w:bCs/>
          <w:i/>
          <w:lang w:val="en-GB"/>
        </w:rPr>
        <w:tab/>
        <w:t xml:space="preserve">Monitoring and </w:t>
      </w:r>
      <w:r w:rsidR="006F537D">
        <w:rPr>
          <w:rFonts w:ascii="Times New Roman" w:hAnsi="Times New Roman" w:cs="Times New Roman"/>
          <w:b/>
          <w:bCs/>
          <w:i/>
          <w:lang w:val="en-GB"/>
        </w:rPr>
        <w:t>analysis of t</w:t>
      </w:r>
      <w:r w:rsidRPr="00942EDA">
        <w:rPr>
          <w:rFonts w:ascii="Times New Roman" w:hAnsi="Times New Roman" w:cs="Times New Roman"/>
          <w:b/>
          <w:bCs/>
          <w:i/>
          <w:lang w:val="en-GB"/>
        </w:rPr>
        <w:t>rend</w:t>
      </w:r>
      <w:r w:rsidR="006F537D">
        <w:rPr>
          <w:rFonts w:ascii="Times New Roman" w:hAnsi="Times New Roman" w:cs="Times New Roman"/>
          <w:b/>
          <w:bCs/>
          <w:i/>
          <w:lang w:val="en-GB"/>
        </w:rPr>
        <w:t>s for</w:t>
      </w:r>
      <w:r w:rsidRPr="00942EDA">
        <w:rPr>
          <w:rFonts w:ascii="Times New Roman" w:hAnsi="Times New Roman" w:cs="Times New Roman"/>
          <w:b/>
          <w:bCs/>
          <w:i/>
          <w:lang w:val="en-GB"/>
        </w:rPr>
        <w:t xml:space="preserve"> ageing effects:</w:t>
      </w:r>
    </w:p>
    <w:p w14:paraId="365928E6" w14:textId="2BAFF69D" w:rsidR="00851B6E" w:rsidRPr="00942EDA" w:rsidRDefault="00386CAB"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 xml:space="preserve">Spent-fuel </w:t>
      </w:r>
      <w:r w:rsidR="009976F1" w:rsidRPr="00942EDA">
        <w:rPr>
          <w:rFonts w:ascii="Times New Roman" w:hAnsi="Times New Roman" w:cs="Times New Roman"/>
          <w:lang w:val="en-GB"/>
        </w:rPr>
        <w:t xml:space="preserve">concrete </w:t>
      </w:r>
      <w:r w:rsidRPr="00942EDA">
        <w:rPr>
          <w:rFonts w:ascii="Times New Roman" w:hAnsi="Times New Roman" w:cs="Times New Roman"/>
          <w:lang w:val="en-GB"/>
        </w:rPr>
        <w:t xml:space="preserve">structures </w:t>
      </w:r>
      <w:r w:rsidR="00851B6E" w:rsidRPr="00942EDA">
        <w:rPr>
          <w:rFonts w:ascii="Times New Roman" w:hAnsi="Times New Roman" w:cs="Times New Roman"/>
          <w:lang w:val="en-GB"/>
        </w:rPr>
        <w:t xml:space="preserve">are monitored by parameters measured and periodic inspection. Changes in areas </w:t>
      </w:r>
      <w:r w:rsidR="004031EF" w:rsidRPr="00942EDA">
        <w:rPr>
          <w:rFonts w:ascii="Times New Roman" w:hAnsi="Times New Roman" w:cs="Times New Roman"/>
          <w:lang w:val="en-GB"/>
        </w:rPr>
        <w:t>with significant</w:t>
      </w:r>
      <w:r w:rsidR="00851B6E" w:rsidRPr="00942EDA">
        <w:rPr>
          <w:rFonts w:ascii="Times New Roman" w:hAnsi="Times New Roman" w:cs="Times New Roman"/>
          <w:lang w:val="en-GB"/>
        </w:rPr>
        <w:t xml:space="preserve"> degradations from prior inspections, such as growth of an active crack</w:t>
      </w:r>
      <w:r w:rsidR="00B40FB9" w:rsidRPr="00942EDA">
        <w:rPr>
          <w:rFonts w:ascii="Times New Roman" w:hAnsi="Times New Roman" w:cs="Times New Roman"/>
          <w:lang w:val="en-GB"/>
        </w:rPr>
        <w:t xml:space="preserve">, </w:t>
      </w:r>
      <w:r w:rsidR="00851B6E" w:rsidRPr="00942EDA">
        <w:rPr>
          <w:rFonts w:ascii="Times New Roman" w:hAnsi="Times New Roman" w:cs="Times New Roman"/>
          <w:lang w:val="en-GB"/>
        </w:rPr>
        <w:t>extent of corrosion</w:t>
      </w:r>
      <w:r w:rsidR="00616070">
        <w:rPr>
          <w:rFonts w:ascii="Times New Roman" w:hAnsi="Times New Roman" w:cs="Times New Roman"/>
          <w:lang w:val="en-GB"/>
        </w:rPr>
        <w:t>,</w:t>
      </w:r>
      <w:r w:rsidR="00B40FB9" w:rsidRPr="00942EDA">
        <w:rPr>
          <w:rFonts w:ascii="Times New Roman" w:hAnsi="Times New Roman" w:cs="Times New Roman"/>
          <w:lang w:val="en-GB"/>
        </w:rPr>
        <w:t xml:space="preserve"> increase in radiation dose rates,</w:t>
      </w:r>
      <w:r w:rsidR="00616070">
        <w:rPr>
          <w:rFonts w:ascii="Times New Roman" w:hAnsi="Times New Roman" w:cs="Times New Roman"/>
          <w:lang w:val="en-GB"/>
        </w:rPr>
        <w:t xml:space="preserve"> or changes in groundwater chemistry levels (pH, chlorides</w:t>
      </w:r>
      <w:r w:rsidR="0045039F">
        <w:rPr>
          <w:rFonts w:ascii="Times New Roman" w:hAnsi="Times New Roman" w:cs="Times New Roman"/>
          <w:lang w:val="en-GB"/>
        </w:rPr>
        <w:t>,</w:t>
      </w:r>
      <w:r w:rsidR="00616070">
        <w:rPr>
          <w:rFonts w:ascii="Times New Roman" w:hAnsi="Times New Roman" w:cs="Times New Roman"/>
          <w:lang w:val="en-GB"/>
        </w:rPr>
        <w:t xml:space="preserve"> </w:t>
      </w:r>
      <w:r w:rsidR="0045039F">
        <w:rPr>
          <w:rFonts w:ascii="Times New Roman" w:hAnsi="Times New Roman" w:cs="Times New Roman"/>
          <w:lang w:val="en-GB"/>
        </w:rPr>
        <w:t>sulphates)</w:t>
      </w:r>
      <w:r w:rsidR="00851B6E" w:rsidRPr="00942EDA">
        <w:rPr>
          <w:rFonts w:ascii="Times New Roman" w:hAnsi="Times New Roman" w:cs="Times New Roman"/>
          <w:lang w:val="en-GB"/>
        </w:rPr>
        <w:t>, are trended until it is evident that the change is no longer occurring or until corrective actions are implemented in accordance with national regulation</w:t>
      </w:r>
      <w:r w:rsidR="0045039F">
        <w:rPr>
          <w:rFonts w:ascii="Times New Roman" w:hAnsi="Times New Roman" w:cs="Times New Roman"/>
          <w:lang w:val="en-GB"/>
        </w:rPr>
        <w:t>s</w:t>
      </w:r>
      <w:r w:rsidR="00851B6E" w:rsidRPr="00942EDA">
        <w:rPr>
          <w:rFonts w:ascii="Times New Roman" w:hAnsi="Times New Roman" w:cs="Times New Roman"/>
          <w:lang w:val="en-GB"/>
        </w:rPr>
        <w:t>.</w:t>
      </w:r>
    </w:p>
    <w:p w14:paraId="1582CF35" w14:textId="69005245" w:rsidR="00B01A8B" w:rsidRPr="00942EDA" w:rsidRDefault="0045039F" w:rsidP="009978AD">
      <w:pPr>
        <w:pStyle w:val="Default"/>
        <w:spacing w:before="120" w:after="120"/>
        <w:jc w:val="both"/>
        <w:rPr>
          <w:rFonts w:ascii="Times New Roman" w:hAnsi="Times New Roman" w:cs="Times New Roman"/>
          <w:lang w:val="en-GB"/>
        </w:rPr>
      </w:pPr>
      <w:r>
        <w:rPr>
          <w:rFonts w:ascii="Times New Roman" w:hAnsi="Times New Roman" w:cs="Times New Roman"/>
          <w:lang w:val="en-GB"/>
        </w:rPr>
        <w:t>This attribute includes e</w:t>
      </w:r>
      <w:r w:rsidR="00B01A8B" w:rsidRPr="00942EDA">
        <w:rPr>
          <w:rFonts w:ascii="Times New Roman" w:hAnsi="Times New Roman" w:cs="Times New Roman"/>
          <w:lang w:val="en-GB"/>
        </w:rPr>
        <w:t xml:space="preserve">valuation of monitoring methods, considering </w:t>
      </w:r>
      <w:r w:rsidR="003A04F7">
        <w:rPr>
          <w:rFonts w:ascii="Times New Roman" w:hAnsi="Times New Roman" w:cs="Times New Roman"/>
          <w:lang w:val="en-GB"/>
        </w:rPr>
        <w:t>operating experience (</w:t>
      </w:r>
      <w:r w:rsidR="00B01A8B" w:rsidRPr="00942EDA">
        <w:rPr>
          <w:rFonts w:ascii="Times New Roman" w:hAnsi="Times New Roman" w:cs="Times New Roman"/>
          <w:lang w:val="en-GB"/>
        </w:rPr>
        <w:t>OPEX</w:t>
      </w:r>
      <w:r w:rsidR="003A04F7">
        <w:rPr>
          <w:rFonts w:ascii="Times New Roman" w:hAnsi="Times New Roman" w:cs="Times New Roman"/>
          <w:lang w:val="en-GB"/>
        </w:rPr>
        <w:t>)</w:t>
      </w:r>
      <w:r w:rsidR="00B01A8B" w:rsidRPr="00942EDA">
        <w:rPr>
          <w:rFonts w:ascii="Times New Roman" w:hAnsi="Times New Roman" w:cs="Times New Roman"/>
          <w:lang w:val="en-GB"/>
        </w:rPr>
        <w:t xml:space="preserve"> and </w:t>
      </w:r>
      <w:r w:rsidR="003A04F7">
        <w:rPr>
          <w:rFonts w:ascii="Times New Roman" w:hAnsi="Times New Roman" w:cs="Times New Roman"/>
          <w:lang w:val="en-GB"/>
        </w:rPr>
        <w:t>research and development (</w:t>
      </w:r>
      <w:r w:rsidR="00B01A8B" w:rsidRPr="00942EDA">
        <w:rPr>
          <w:rFonts w:ascii="Times New Roman" w:hAnsi="Times New Roman" w:cs="Times New Roman"/>
          <w:lang w:val="en-GB"/>
        </w:rPr>
        <w:t>R&amp;D</w:t>
      </w:r>
      <w:r w:rsidR="003A04F7">
        <w:rPr>
          <w:rFonts w:ascii="Times New Roman" w:hAnsi="Times New Roman" w:cs="Times New Roman"/>
          <w:lang w:val="en-GB"/>
        </w:rPr>
        <w:t>)</w:t>
      </w:r>
      <w:r w:rsidR="00B01A8B" w:rsidRPr="00942EDA">
        <w:rPr>
          <w:rFonts w:ascii="Times New Roman" w:hAnsi="Times New Roman" w:cs="Times New Roman"/>
          <w:lang w:val="en-GB"/>
        </w:rPr>
        <w:t xml:space="preserve"> results to identify and document: </w:t>
      </w:r>
    </w:p>
    <w:p w14:paraId="5653DAF3" w14:textId="7B4C4068" w:rsidR="00B01A8B" w:rsidRPr="00942EDA" w:rsidRDefault="00B01A8B" w:rsidP="003A04F7">
      <w:pPr>
        <w:pStyle w:val="Default"/>
        <w:numPr>
          <w:ilvl w:val="0"/>
          <w:numId w:val="10"/>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Functional parameters and condition indicators for detecting, monitoring, and trending ag</w:t>
      </w:r>
      <w:r w:rsidR="00700589">
        <w:rPr>
          <w:rFonts w:ascii="Times New Roman" w:hAnsi="Times New Roman" w:cs="Times New Roman"/>
          <w:lang w:val="en-GB"/>
        </w:rPr>
        <w:t>e</w:t>
      </w:r>
      <w:r w:rsidRPr="00942EDA">
        <w:rPr>
          <w:rFonts w:ascii="Times New Roman" w:hAnsi="Times New Roman" w:cs="Times New Roman"/>
          <w:lang w:val="en-GB"/>
        </w:rPr>
        <w:t xml:space="preserve">ing </w:t>
      </w:r>
      <w:proofErr w:type="gramStart"/>
      <w:r w:rsidRPr="00942EDA">
        <w:rPr>
          <w:rFonts w:ascii="Times New Roman" w:hAnsi="Times New Roman" w:cs="Times New Roman"/>
          <w:lang w:val="en-GB"/>
        </w:rPr>
        <w:t>degradation;</w:t>
      </w:r>
      <w:proofErr w:type="gramEnd"/>
    </w:p>
    <w:p w14:paraId="6A038D0B" w14:textId="77777777" w:rsidR="00B01A8B" w:rsidRPr="00942EDA" w:rsidRDefault="00B01A8B" w:rsidP="003A04F7">
      <w:pPr>
        <w:pStyle w:val="Default"/>
        <w:numPr>
          <w:ilvl w:val="0"/>
          <w:numId w:val="10"/>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An assessment of the capability and practicability of existing monitoring techniques to measure these parameters and indicators with sufficient sensitivity, reliability, and </w:t>
      </w:r>
      <w:proofErr w:type="gramStart"/>
      <w:r w:rsidRPr="00942EDA">
        <w:rPr>
          <w:rFonts w:ascii="Times New Roman" w:hAnsi="Times New Roman" w:cs="Times New Roman"/>
          <w:lang w:val="en-GB"/>
        </w:rPr>
        <w:t>accuracy;</w:t>
      </w:r>
      <w:proofErr w:type="gramEnd"/>
    </w:p>
    <w:p w14:paraId="162F188A" w14:textId="5B8E382C" w:rsidR="00740316" w:rsidRPr="00942EDA" w:rsidRDefault="00B01A8B" w:rsidP="003A04F7">
      <w:pPr>
        <w:pStyle w:val="Default"/>
        <w:numPr>
          <w:ilvl w:val="0"/>
          <w:numId w:val="10"/>
        </w:numPr>
        <w:spacing w:before="120" w:after="120"/>
        <w:ind w:left="714" w:hanging="357"/>
        <w:contextualSpacing/>
        <w:jc w:val="both"/>
        <w:rPr>
          <w:rFonts w:ascii="Times New Roman" w:hAnsi="Times New Roman" w:cs="Times New Roman"/>
          <w:lang w:val="en-GB"/>
        </w:rPr>
      </w:pPr>
      <w:r w:rsidRPr="00942EDA">
        <w:rPr>
          <w:rFonts w:ascii="Times New Roman" w:hAnsi="Times New Roman" w:cs="Times New Roman"/>
          <w:lang w:val="en-GB"/>
        </w:rPr>
        <w:t xml:space="preserve">Data evaluation techniques for recognizing significant degradation and for predicting future </w:t>
      </w:r>
      <w:proofErr w:type="gramStart"/>
      <w:r w:rsidRPr="00942EDA">
        <w:rPr>
          <w:rFonts w:ascii="Times New Roman" w:hAnsi="Times New Roman" w:cs="Times New Roman"/>
          <w:lang w:val="en-GB"/>
        </w:rPr>
        <w:t>performance</w:t>
      </w:r>
      <w:r w:rsidR="00607D7F">
        <w:rPr>
          <w:rFonts w:ascii="Times New Roman" w:hAnsi="Times New Roman" w:cs="Times New Roman"/>
          <w:lang w:val="en-GB"/>
        </w:rPr>
        <w:t>;</w:t>
      </w:r>
      <w:proofErr w:type="gramEnd"/>
    </w:p>
    <w:p w14:paraId="1944511C" w14:textId="73D8E507" w:rsidR="00740316" w:rsidRDefault="00740316" w:rsidP="003A04F7">
      <w:pPr>
        <w:pStyle w:val="Default"/>
        <w:numPr>
          <w:ilvl w:val="0"/>
          <w:numId w:val="10"/>
        </w:numPr>
        <w:spacing w:before="120" w:after="120"/>
        <w:ind w:left="714" w:hanging="357"/>
        <w:jc w:val="both"/>
        <w:rPr>
          <w:rFonts w:ascii="Times New Roman" w:hAnsi="Times New Roman" w:cs="Times New Roman"/>
          <w:lang w:val="en-GB"/>
        </w:rPr>
      </w:pPr>
      <w:r w:rsidRPr="00942EDA">
        <w:rPr>
          <w:rFonts w:ascii="Times New Roman" w:hAnsi="Times New Roman" w:cs="Times New Roman"/>
          <w:lang w:val="en-GB"/>
        </w:rPr>
        <w:t>Radiation surveys to ensure the shielding function of the concrete structure are maintained.</w:t>
      </w:r>
    </w:p>
    <w:p w14:paraId="745A91B9" w14:textId="77777777" w:rsidR="003A04F7" w:rsidRPr="00942EDA" w:rsidRDefault="003A04F7" w:rsidP="00243777">
      <w:pPr>
        <w:pStyle w:val="Default"/>
        <w:spacing w:before="120" w:after="120"/>
        <w:jc w:val="both"/>
        <w:rPr>
          <w:rFonts w:ascii="Times New Roman" w:hAnsi="Times New Roman" w:cs="Times New Roman"/>
          <w:lang w:val="en-GB"/>
        </w:rPr>
      </w:pPr>
    </w:p>
    <w:p w14:paraId="57A49826" w14:textId="44C7B4E4" w:rsidR="00851B6E" w:rsidRPr="00942EDA" w:rsidRDefault="00851B6E" w:rsidP="009978AD">
      <w:pPr>
        <w:pStyle w:val="Default"/>
        <w:numPr>
          <w:ilvl w:val="0"/>
          <w:numId w:val="1"/>
        </w:numPr>
        <w:spacing w:before="120" w:after="120"/>
        <w:ind w:left="425" w:hanging="425"/>
        <w:jc w:val="both"/>
        <w:rPr>
          <w:rFonts w:ascii="Times New Roman" w:hAnsi="Times New Roman" w:cs="Times New Roman"/>
          <w:b/>
          <w:bCs/>
          <w:i/>
          <w:lang w:val="en-GB"/>
        </w:rPr>
      </w:pPr>
      <w:r w:rsidRPr="00942EDA">
        <w:rPr>
          <w:rFonts w:ascii="Times New Roman" w:hAnsi="Times New Roman" w:cs="Times New Roman"/>
          <w:b/>
          <w:bCs/>
          <w:i/>
          <w:lang w:val="en-GB"/>
        </w:rPr>
        <w:tab/>
        <w:t>Mitigati</w:t>
      </w:r>
      <w:r w:rsidR="006F537D">
        <w:rPr>
          <w:rFonts w:ascii="Times New Roman" w:hAnsi="Times New Roman" w:cs="Times New Roman"/>
          <w:b/>
          <w:bCs/>
          <w:i/>
          <w:lang w:val="en-GB"/>
        </w:rPr>
        <w:t>on of</w:t>
      </w:r>
      <w:r w:rsidRPr="00942EDA">
        <w:rPr>
          <w:rFonts w:ascii="Times New Roman" w:hAnsi="Times New Roman" w:cs="Times New Roman"/>
          <w:b/>
          <w:bCs/>
          <w:i/>
          <w:lang w:val="en-GB"/>
        </w:rPr>
        <w:t xml:space="preserve"> </w:t>
      </w:r>
      <w:r w:rsidR="006F537D">
        <w:rPr>
          <w:rFonts w:ascii="Times New Roman" w:hAnsi="Times New Roman" w:cs="Times New Roman"/>
          <w:b/>
          <w:bCs/>
          <w:i/>
          <w:lang w:val="en-GB"/>
        </w:rPr>
        <w:t>a</w:t>
      </w:r>
      <w:r w:rsidRPr="00942EDA">
        <w:rPr>
          <w:rFonts w:ascii="Times New Roman" w:hAnsi="Times New Roman" w:cs="Times New Roman"/>
          <w:b/>
          <w:bCs/>
          <w:i/>
          <w:lang w:val="en-GB"/>
        </w:rPr>
        <w:t xml:space="preserve">geing </w:t>
      </w:r>
      <w:r w:rsidR="006F537D">
        <w:rPr>
          <w:rFonts w:ascii="Times New Roman" w:hAnsi="Times New Roman" w:cs="Times New Roman"/>
          <w:b/>
          <w:bCs/>
          <w:i/>
          <w:lang w:val="en-GB"/>
        </w:rPr>
        <w:t>e</w:t>
      </w:r>
      <w:r w:rsidRPr="00942EDA">
        <w:rPr>
          <w:rFonts w:ascii="Times New Roman" w:hAnsi="Times New Roman" w:cs="Times New Roman"/>
          <w:b/>
          <w:bCs/>
          <w:i/>
          <w:lang w:val="en-GB"/>
        </w:rPr>
        <w:t>ffect</w:t>
      </w:r>
      <w:r w:rsidR="006F537D">
        <w:rPr>
          <w:rFonts w:ascii="Times New Roman" w:hAnsi="Times New Roman" w:cs="Times New Roman"/>
          <w:b/>
          <w:bCs/>
          <w:i/>
          <w:lang w:val="en-GB"/>
        </w:rPr>
        <w:t>s</w:t>
      </w:r>
      <w:r w:rsidRPr="00942EDA">
        <w:rPr>
          <w:rFonts w:ascii="Times New Roman" w:hAnsi="Times New Roman" w:cs="Times New Roman"/>
          <w:b/>
          <w:bCs/>
          <w:i/>
          <w:lang w:val="en-GB"/>
        </w:rPr>
        <w:t>:</w:t>
      </w:r>
    </w:p>
    <w:p w14:paraId="606DD852" w14:textId="025F086D" w:rsidR="00640A23" w:rsidRPr="00942EDA" w:rsidRDefault="00851B6E" w:rsidP="009978AD">
      <w:pPr>
        <w:pStyle w:val="NormalWeb"/>
        <w:spacing w:before="120" w:beforeAutospacing="0" w:after="120" w:afterAutospacing="0"/>
        <w:jc w:val="both"/>
        <w:rPr>
          <w:lang w:val="en-GB"/>
        </w:rPr>
      </w:pPr>
      <w:r w:rsidRPr="00942EDA">
        <w:rPr>
          <w:lang w:val="en-GB"/>
        </w:rPr>
        <w:t>This AMP is a condition monitoring programme</w:t>
      </w:r>
      <w:r w:rsidR="000478BD">
        <w:rPr>
          <w:lang w:val="en-GB"/>
        </w:rPr>
        <w:t>.</w:t>
      </w:r>
      <w:r w:rsidRPr="00942EDA">
        <w:rPr>
          <w:lang w:val="en-GB"/>
        </w:rPr>
        <w:t xml:space="preserve"> </w:t>
      </w:r>
      <w:r w:rsidR="000478BD" w:rsidRPr="00942EDA">
        <w:rPr>
          <w:lang w:val="en-GB"/>
        </w:rPr>
        <w:t>Mitigation strategies should be aimed at minimizing ag</w:t>
      </w:r>
      <w:r w:rsidR="000478BD">
        <w:rPr>
          <w:lang w:val="en-GB"/>
        </w:rPr>
        <w:t>e</w:t>
      </w:r>
      <w:r w:rsidR="000478BD" w:rsidRPr="00942EDA">
        <w:rPr>
          <w:lang w:val="en-GB"/>
        </w:rPr>
        <w:t>ing effects, as well as monitoring and controlling</w:t>
      </w:r>
      <w:r w:rsidR="000478BD">
        <w:rPr>
          <w:lang w:val="en-GB"/>
        </w:rPr>
        <w:t>,</w:t>
      </w:r>
      <w:r w:rsidR="000478BD" w:rsidRPr="00942EDA">
        <w:rPr>
          <w:lang w:val="en-GB"/>
        </w:rPr>
        <w:t xml:space="preserve"> within acceptable limits, parameters that the structure or components are exposed to. As water is necessary for many chemical and physical ag</w:t>
      </w:r>
      <w:r w:rsidR="000478BD">
        <w:rPr>
          <w:lang w:val="en-GB"/>
        </w:rPr>
        <w:t>e</w:t>
      </w:r>
      <w:r w:rsidR="000478BD" w:rsidRPr="00942EDA">
        <w:rPr>
          <w:lang w:val="en-GB"/>
        </w:rPr>
        <w:t>ing mechanisms, waterproofing or diverting water away from the structure/component is considered one of the most effective mitigation strategies.</w:t>
      </w:r>
    </w:p>
    <w:p w14:paraId="7110BEEB" w14:textId="0D886E83" w:rsidR="00851B6E" w:rsidRDefault="00C010C7" w:rsidP="009978AD">
      <w:pPr>
        <w:pStyle w:val="NormalWeb"/>
        <w:spacing w:before="120" w:beforeAutospacing="0" w:after="120" w:afterAutospacing="0"/>
        <w:jc w:val="both"/>
        <w:rPr>
          <w:lang w:val="en-GB"/>
        </w:rPr>
      </w:pPr>
      <w:r w:rsidRPr="00942EDA">
        <w:rPr>
          <w:lang w:val="en-GB"/>
        </w:rPr>
        <w:lastRenderedPageBreak/>
        <w:t>Upon detecting deterioration, maintenance activit</w:t>
      </w:r>
      <w:r w:rsidR="006D4A1A">
        <w:rPr>
          <w:lang w:val="en-GB"/>
        </w:rPr>
        <w:t>ies</w:t>
      </w:r>
      <w:r w:rsidRPr="00942EDA">
        <w:rPr>
          <w:lang w:val="en-GB"/>
        </w:rPr>
        <w:t xml:space="preserve"> </w:t>
      </w:r>
      <w:r w:rsidR="006D4A1A">
        <w:rPr>
          <w:lang w:val="en-GB"/>
        </w:rPr>
        <w:t xml:space="preserve">(e.g., epoxy injection, </w:t>
      </w:r>
      <w:proofErr w:type="gramStart"/>
      <w:r w:rsidR="00931850">
        <w:rPr>
          <w:lang w:val="en-GB"/>
        </w:rPr>
        <w:t>routing</w:t>
      </w:r>
      <w:proofErr w:type="gramEnd"/>
      <w:r w:rsidR="00931850">
        <w:rPr>
          <w:lang w:val="en-GB"/>
        </w:rPr>
        <w:t xml:space="preserve"> and sealing, stitching the crack) </w:t>
      </w:r>
      <w:r w:rsidRPr="00942EDA">
        <w:rPr>
          <w:lang w:val="en-GB"/>
        </w:rPr>
        <w:t xml:space="preserve">can be implemented to prevent </w:t>
      </w:r>
      <w:r w:rsidR="00931850">
        <w:rPr>
          <w:lang w:val="en-GB"/>
        </w:rPr>
        <w:t xml:space="preserve">the deterioration </w:t>
      </w:r>
      <w:r w:rsidRPr="00942EDA">
        <w:rPr>
          <w:lang w:val="en-GB"/>
        </w:rPr>
        <w:t>from becoming a defect that would require major repair.</w:t>
      </w:r>
    </w:p>
    <w:p w14:paraId="08237667" w14:textId="77777777" w:rsidR="00243777" w:rsidRPr="00942EDA" w:rsidRDefault="00243777" w:rsidP="009978AD">
      <w:pPr>
        <w:pStyle w:val="NormalWeb"/>
        <w:spacing w:before="120" w:beforeAutospacing="0" w:after="120" w:afterAutospacing="0"/>
        <w:jc w:val="both"/>
        <w:rPr>
          <w:lang w:val="en-GB"/>
        </w:rPr>
      </w:pPr>
    </w:p>
    <w:p w14:paraId="2A792440" w14:textId="3031A48A" w:rsidR="00851B6E" w:rsidRPr="00942EDA" w:rsidRDefault="00851B6E" w:rsidP="009978AD">
      <w:pPr>
        <w:pStyle w:val="Default"/>
        <w:numPr>
          <w:ilvl w:val="0"/>
          <w:numId w:val="1"/>
        </w:numPr>
        <w:spacing w:before="120" w:after="120"/>
        <w:ind w:left="426" w:hanging="426"/>
        <w:jc w:val="both"/>
        <w:rPr>
          <w:rFonts w:ascii="Times New Roman" w:hAnsi="Times New Roman" w:cs="Times New Roman"/>
          <w:b/>
          <w:bCs/>
          <w:i/>
          <w:lang w:val="en-GB"/>
        </w:rPr>
      </w:pPr>
      <w:r w:rsidRPr="00942EDA">
        <w:rPr>
          <w:rFonts w:ascii="Times New Roman" w:hAnsi="Times New Roman" w:cs="Times New Roman"/>
          <w:b/>
          <w:bCs/>
          <w:i/>
          <w:lang w:val="en-GB"/>
        </w:rPr>
        <w:t xml:space="preserve">Acceptance </w:t>
      </w:r>
      <w:r w:rsidR="006F537D">
        <w:rPr>
          <w:rFonts w:ascii="Times New Roman" w:hAnsi="Times New Roman" w:cs="Times New Roman"/>
          <w:b/>
          <w:bCs/>
          <w:i/>
          <w:lang w:val="en-GB"/>
        </w:rPr>
        <w:t>c</w:t>
      </w:r>
      <w:r w:rsidRPr="00942EDA">
        <w:rPr>
          <w:rFonts w:ascii="Times New Roman" w:hAnsi="Times New Roman" w:cs="Times New Roman"/>
          <w:b/>
          <w:bCs/>
          <w:i/>
          <w:lang w:val="en-GB"/>
        </w:rPr>
        <w:t>riteria:</w:t>
      </w:r>
    </w:p>
    <w:p w14:paraId="04706DDD" w14:textId="7B61D415" w:rsidR="0080272E" w:rsidRPr="00942EDA" w:rsidRDefault="0080272E"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Several countries and organizations, including ACI, CEN, CSA etc. have developed criteria for evaluation of concrete structures.</w:t>
      </w:r>
      <w:r w:rsidR="0013477D">
        <w:rPr>
          <w:rFonts w:ascii="Times New Roman" w:hAnsi="Times New Roman" w:cs="Times New Roman"/>
          <w:lang w:val="en-GB"/>
        </w:rPr>
        <w:t xml:space="preserve"> The plant programme specifies the specific acceptance criteria.</w:t>
      </w:r>
    </w:p>
    <w:p w14:paraId="68337D1E" w14:textId="764D529F" w:rsidR="00851B6E" w:rsidRPr="00942EDA" w:rsidRDefault="00851B6E"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 xml:space="preserve">The structures monitoring programme calls for inspection results to be evaluated by qualified engineering personnel based on acceptance criteria selected for each structure/ageing effect to ensure that corrective actions </w:t>
      </w:r>
      <w:r w:rsidR="0013477D">
        <w:rPr>
          <w:rFonts w:ascii="Times New Roman" w:hAnsi="Times New Roman" w:cs="Times New Roman"/>
          <w:lang w:val="en-GB"/>
        </w:rPr>
        <w:t>are</w:t>
      </w:r>
      <w:r w:rsidRPr="00942EDA">
        <w:rPr>
          <w:rFonts w:ascii="Times New Roman" w:hAnsi="Times New Roman" w:cs="Times New Roman"/>
          <w:lang w:val="en-GB"/>
        </w:rPr>
        <w:t xml:space="preserve"> identified and implemented before loss of intended functions.</w:t>
      </w:r>
    </w:p>
    <w:p w14:paraId="1A53CCD4" w14:textId="1DE4584D" w:rsidR="00851B6E" w:rsidRPr="00942EDA" w:rsidRDefault="00851B6E"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The criteria are derived in accordance with industry codes, standards and practice of each country, and design bases codes and standards, as applicable by considering industry and plant operating experience. Generally</w:t>
      </w:r>
      <w:r w:rsidR="00640A23" w:rsidRPr="00942EDA">
        <w:rPr>
          <w:rFonts w:ascii="Times New Roman" w:hAnsi="Times New Roman" w:cs="Times New Roman"/>
          <w:lang w:val="en-GB"/>
        </w:rPr>
        <w:t xml:space="preserve">, </w:t>
      </w:r>
      <w:r w:rsidRPr="00942EDA">
        <w:rPr>
          <w:rFonts w:ascii="Times New Roman" w:hAnsi="Times New Roman" w:cs="Times New Roman"/>
          <w:lang w:val="en-GB"/>
        </w:rPr>
        <w:t>examination of design data</w:t>
      </w:r>
      <w:r w:rsidR="00640A23" w:rsidRPr="00942EDA">
        <w:rPr>
          <w:rFonts w:ascii="Times New Roman" w:hAnsi="Times New Roman" w:cs="Times New Roman"/>
          <w:lang w:val="en-GB"/>
        </w:rPr>
        <w:t>,</w:t>
      </w:r>
      <w:r w:rsidRPr="00942EDA">
        <w:rPr>
          <w:rFonts w:ascii="Times New Roman" w:hAnsi="Times New Roman" w:cs="Times New Roman"/>
          <w:lang w:val="en-GB"/>
        </w:rPr>
        <w:t xml:space="preserve"> if any</w:t>
      </w:r>
      <w:r w:rsidR="00640A23" w:rsidRPr="00942EDA">
        <w:rPr>
          <w:rFonts w:ascii="Times New Roman" w:hAnsi="Times New Roman" w:cs="Times New Roman"/>
          <w:lang w:val="en-GB"/>
        </w:rPr>
        <w:t>,</w:t>
      </w:r>
      <w:r w:rsidRPr="00942EDA">
        <w:rPr>
          <w:rFonts w:ascii="Times New Roman" w:hAnsi="Times New Roman" w:cs="Times New Roman"/>
          <w:lang w:val="en-GB"/>
        </w:rPr>
        <w:t xml:space="preserve"> and intervention by </w:t>
      </w:r>
      <w:r w:rsidR="00640A23" w:rsidRPr="00942EDA">
        <w:rPr>
          <w:rFonts w:ascii="Times New Roman" w:hAnsi="Times New Roman" w:cs="Times New Roman"/>
          <w:lang w:val="en-GB"/>
        </w:rPr>
        <w:t xml:space="preserve">structural </w:t>
      </w:r>
      <w:r w:rsidRPr="00942EDA">
        <w:rPr>
          <w:rFonts w:ascii="Times New Roman" w:hAnsi="Times New Roman" w:cs="Times New Roman"/>
          <w:lang w:val="en-GB"/>
        </w:rPr>
        <w:t xml:space="preserve">engineer are necessary </w:t>
      </w:r>
      <w:r w:rsidR="0013477D" w:rsidRPr="00942EDA">
        <w:rPr>
          <w:rFonts w:ascii="Times New Roman" w:hAnsi="Times New Roman" w:cs="Times New Roman"/>
          <w:lang w:val="en-GB"/>
        </w:rPr>
        <w:t>to</w:t>
      </w:r>
      <w:r w:rsidRPr="00942EDA">
        <w:rPr>
          <w:rFonts w:ascii="Times New Roman" w:hAnsi="Times New Roman" w:cs="Times New Roman"/>
          <w:lang w:val="en-GB"/>
        </w:rPr>
        <w:t xml:space="preserve"> assess acceptance criteria. </w:t>
      </w:r>
      <w:r w:rsidRPr="00942EDA">
        <w:rPr>
          <w:rFonts w:ascii="Times New Roman" w:hAnsi="Times New Roman" w:cs="Times New Roman"/>
          <w:color w:val="auto"/>
          <w:lang w:val="en-GB"/>
        </w:rPr>
        <w:t xml:space="preserve">For example, the “Evaluation Criteria” provided in Chapter 5 of ACI 349.3R-18 </w:t>
      </w:r>
      <w:r w:rsidR="00CA114A">
        <w:rPr>
          <w:rFonts w:ascii="Times New Roman" w:hAnsi="Times New Roman" w:cs="Times New Roman"/>
          <w:color w:val="auto"/>
          <w:lang w:val="en-GB"/>
        </w:rPr>
        <w:fldChar w:fldCharType="begin"/>
      </w:r>
      <w:r w:rsidR="00CA114A">
        <w:rPr>
          <w:rFonts w:ascii="Times New Roman" w:hAnsi="Times New Roman" w:cs="Times New Roman"/>
          <w:color w:val="auto"/>
          <w:lang w:val="en-GB"/>
        </w:rPr>
        <w:instrText xml:space="preserve"> REF _Ref156400189 \r \h </w:instrText>
      </w:r>
      <w:r w:rsidR="00CA114A">
        <w:rPr>
          <w:rFonts w:ascii="Times New Roman" w:hAnsi="Times New Roman" w:cs="Times New Roman"/>
          <w:color w:val="auto"/>
          <w:lang w:val="en-GB"/>
        </w:rPr>
      </w:r>
      <w:r w:rsidR="00CA114A">
        <w:rPr>
          <w:rFonts w:ascii="Times New Roman" w:hAnsi="Times New Roman" w:cs="Times New Roman"/>
          <w:color w:val="auto"/>
          <w:lang w:val="en-GB"/>
        </w:rPr>
        <w:fldChar w:fldCharType="separate"/>
      </w:r>
      <w:r w:rsidR="00CA114A">
        <w:rPr>
          <w:rFonts w:ascii="Times New Roman" w:hAnsi="Times New Roman" w:cs="Times New Roman"/>
          <w:color w:val="auto"/>
          <w:lang w:val="en-GB"/>
        </w:rPr>
        <w:t>[7]</w:t>
      </w:r>
      <w:r w:rsidR="00CA114A">
        <w:rPr>
          <w:rFonts w:ascii="Times New Roman" w:hAnsi="Times New Roman" w:cs="Times New Roman"/>
          <w:color w:val="auto"/>
          <w:lang w:val="en-GB"/>
        </w:rPr>
        <w:fldChar w:fldCharType="end"/>
      </w:r>
      <w:r w:rsidRPr="00942EDA">
        <w:rPr>
          <w:rFonts w:ascii="Times New Roman" w:hAnsi="Times New Roman" w:cs="Times New Roman"/>
          <w:color w:val="auto"/>
          <w:lang w:val="en-GB"/>
        </w:rPr>
        <w:t xml:space="preserve"> provide acceptance criteria (including quantitative criteria) for determining the adequacy of observed ageing effects and specifies criteria for further evaluation.</w:t>
      </w:r>
      <w:r w:rsidR="00BB4DC0" w:rsidRPr="00942EDA">
        <w:rPr>
          <w:rFonts w:ascii="Times New Roman" w:hAnsi="Times New Roman" w:cs="Times New Roman"/>
          <w:color w:val="auto"/>
          <w:lang w:val="en-GB"/>
        </w:rPr>
        <w:t xml:space="preserve"> </w:t>
      </w:r>
      <w:r w:rsidRPr="00942EDA">
        <w:rPr>
          <w:rFonts w:ascii="Times New Roman" w:hAnsi="Times New Roman" w:cs="Times New Roman"/>
          <w:lang w:val="en-GB"/>
        </w:rPr>
        <w:t>The European standard EN 1504-9</w:t>
      </w:r>
      <w:r w:rsidR="004067B9">
        <w:rPr>
          <w:rFonts w:ascii="Times New Roman" w:hAnsi="Times New Roman" w:cs="Times New Roman"/>
          <w:lang w:val="en-GB"/>
        </w:rPr>
        <w:t xml:space="preserve"> </w:t>
      </w:r>
      <w:r w:rsidR="004067B9">
        <w:rPr>
          <w:rFonts w:ascii="Times New Roman" w:hAnsi="Times New Roman" w:cs="Times New Roman"/>
          <w:lang w:val="en-GB"/>
        </w:rPr>
        <w:fldChar w:fldCharType="begin"/>
      </w:r>
      <w:r w:rsidR="004067B9">
        <w:rPr>
          <w:rFonts w:ascii="Times New Roman" w:hAnsi="Times New Roman" w:cs="Times New Roman"/>
          <w:lang w:val="en-GB"/>
        </w:rPr>
        <w:instrText xml:space="preserve"> REF _Ref156400202 \r \h </w:instrText>
      </w:r>
      <w:r w:rsidR="004067B9">
        <w:rPr>
          <w:rFonts w:ascii="Times New Roman" w:hAnsi="Times New Roman" w:cs="Times New Roman"/>
          <w:lang w:val="en-GB"/>
        </w:rPr>
      </w:r>
      <w:r w:rsidR="004067B9">
        <w:rPr>
          <w:rFonts w:ascii="Times New Roman" w:hAnsi="Times New Roman" w:cs="Times New Roman"/>
          <w:lang w:val="en-GB"/>
        </w:rPr>
        <w:fldChar w:fldCharType="separate"/>
      </w:r>
      <w:r w:rsidR="004067B9">
        <w:rPr>
          <w:rFonts w:ascii="Times New Roman" w:hAnsi="Times New Roman" w:cs="Times New Roman"/>
          <w:lang w:val="en-GB"/>
        </w:rPr>
        <w:t>[8]</w:t>
      </w:r>
      <w:r w:rsidR="004067B9">
        <w:rPr>
          <w:rFonts w:ascii="Times New Roman" w:hAnsi="Times New Roman" w:cs="Times New Roman"/>
          <w:lang w:val="en-GB"/>
        </w:rPr>
        <w:fldChar w:fldCharType="end"/>
      </w:r>
      <w:r w:rsidRPr="00942EDA">
        <w:rPr>
          <w:rFonts w:ascii="Times New Roman" w:hAnsi="Times New Roman" w:cs="Times New Roman"/>
          <w:lang w:val="en-GB"/>
        </w:rPr>
        <w:t xml:space="preserve"> is an example for condition assessment which is a necessity if the acceptance criteria </w:t>
      </w:r>
      <w:r w:rsidR="00936540" w:rsidRPr="00942EDA">
        <w:rPr>
          <w:rFonts w:ascii="Times New Roman" w:hAnsi="Times New Roman" w:cs="Times New Roman"/>
          <w:lang w:val="en-GB"/>
        </w:rPr>
        <w:t>cannot</w:t>
      </w:r>
      <w:r w:rsidRPr="00942EDA">
        <w:rPr>
          <w:rFonts w:ascii="Times New Roman" w:hAnsi="Times New Roman" w:cs="Times New Roman"/>
          <w:lang w:val="en-GB"/>
        </w:rPr>
        <w:t xml:space="preserve"> be contained</w:t>
      </w:r>
      <w:r w:rsidR="00244E22" w:rsidRPr="00942EDA">
        <w:rPr>
          <w:rFonts w:ascii="Times New Roman" w:hAnsi="Times New Roman" w:cs="Times New Roman"/>
          <w:lang w:val="en-GB"/>
        </w:rPr>
        <w:t>.</w:t>
      </w:r>
    </w:p>
    <w:p w14:paraId="02B8F73B" w14:textId="20CB9989" w:rsidR="008F5A4B" w:rsidRDefault="008F5A4B"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The criteria for radiation surveys are established to ensure compliance with regulatory requirements for direct radiation for a spent fuel storage facility.</w:t>
      </w:r>
    </w:p>
    <w:p w14:paraId="46C841A2" w14:textId="3209DBB1" w:rsidR="008A4C30" w:rsidRDefault="008A4C30" w:rsidP="009978AD">
      <w:pPr>
        <w:pStyle w:val="Default"/>
        <w:spacing w:before="120" w:after="120"/>
        <w:jc w:val="both"/>
        <w:rPr>
          <w:rFonts w:ascii="Times New Roman" w:hAnsi="Times New Roman" w:cs="Times New Roman"/>
          <w:lang w:val="en-GB"/>
        </w:rPr>
      </w:pPr>
      <w:r>
        <w:rPr>
          <w:rFonts w:ascii="Times New Roman" w:hAnsi="Times New Roman" w:cs="Times New Roman"/>
          <w:lang w:val="en-GB"/>
        </w:rPr>
        <w:t xml:space="preserve">In the US, the acceptance criteria for the groundwater chemistry programme </w:t>
      </w:r>
      <w:proofErr w:type="gramStart"/>
      <w:r>
        <w:rPr>
          <w:rFonts w:ascii="Times New Roman" w:hAnsi="Times New Roman" w:cs="Times New Roman"/>
          <w:lang w:val="en-GB"/>
        </w:rPr>
        <w:t>is</w:t>
      </w:r>
      <w:proofErr w:type="gramEnd"/>
      <w:r>
        <w:rPr>
          <w:rFonts w:ascii="Times New Roman" w:hAnsi="Times New Roman" w:cs="Times New Roman"/>
          <w:lang w:val="en-GB"/>
        </w:rPr>
        <w:t xml:space="preserve"> </w:t>
      </w:r>
      <w:r w:rsidR="00A77877">
        <w:rPr>
          <w:rFonts w:ascii="Times New Roman" w:hAnsi="Times New Roman" w:cs="Times New Roman"/>
          <w:lang w:val="en-GB"/>
        </w:rPr>
        <w:t xml:space="preserve">commensurate with ASME Code Section XI, Subsection IWL, which states that an aggressive below-grade environment is defined </w:t>
      </w:r>
      <w:r w:rsidR="00CE7F12">
        <w:rPr>
          <w:rFonts w:ascii="Times New Roman" w:hAnsi="Times New Roman" w:cs="Times New Roman"/>
          <w:lang w:val="en-GB"/>
        </w:rPr>
        <w:t xml:space="preserve">as pH &lt; 5.5, chlorides &gt; 500 ppm, or </w:t>
      </w:r>
      <w:r w:rsidR="00EC2338">
        <w:rPr>
          <w:rFonts w:ascii="Times New Roman" w:hAnsi="Times New Roman" w:cs="Times New Roman"/>
          <w:lang w:val="en-GB"/>
        </w:rPr>
        <w:t>sulphates</w:t>
      </w:r>
      <w:r w:rsidR="00CE7F12">
        <w:rPr>
          <w:rFonts w:ascii="Times New Roman" w:hAnsi="Times New Roman" w:cs="Times New Roman"/>
          <w:lang w:val="en-GB"/>
        </w:rPr>
        <w:t xml:space="preserve"> &gt; 1500 ppm </w:t>
      </w:r>
      <w:r w:rsidR="00CD5E40">
        <w:rPr>
          <w:rFonts w:ascii="Times New Roman" w:hAnsi="Times New Roman" w:cs="Times New Roman"/>
          <w:lang w:val="en-GB"/>
        </w:rPr>
        <w:fldChar w:fldCharType="begin"/>
      </w:r>
      <w:r w:rsidR="00CD5E40">
        <w:rPr>
          <w:rFonts w:ascii="Times New Roman" w:hAnsi="Times New Roman" w:cs="Times New Roman"/>
          <w:lang w:val="en-GB"/>
        </w:rPr>
        <w:instrText xml:space="preserve"> REF _Ref156400348 \r \h </w:instrText>
      </w:r>
      <w:r w:rsidR="00CD5E40">
        <w:rPr>
          <w:rFonts w:ascii="Times New Roman" w:hAnsi="Times New Roman" w:cs="Times New Roman"/>
          <w:lang w:val="en-GB"/>
        </w:rPr>
      </w:r>
      <w:r w:rsidR="00CD5E40">
        <w:rPr>
          <w:rFonts w:ascii="Times New Roman" w:hAnsi="Times New Roman" w:cs="Times New Roman"/>
          <w:lang w:val="en-GB"/>
        </w:rPr>
        <w:fldChar w:fldCharType="separate"/>
      </w:r>
      <w:r w:rsidR="00CD5E40">
        <w:rPr>
          <w:rFonts w:ascii="Times New Roman" w:hAnsi="Times New Roman" w:cs="Times New Roman"/>
          <w:lang w:val="en-GB"/>
        </w:rPr>
        <w:t>[9]</w:t>
      </w:r>
      <w:r w:rsidR="00CD5E40">
        <w:rPr>
          <w:rFonts w:ascii="Times New Roman" w:hAnsi="Times New Roman" w:cs="Times New Roman"/>
          <w:lang w:val="en-GB"/>
        </w:rPr>
        <w:fldChar w:fldCharType="end"/>
      </w:r>
      <w:r w:rsidR="00EC2338">
        <w:rPr>
          <w:rFonts w:ascii="Times New Roman" w:hAnsi="Times New Roman" w:cs="Times New Roman"/>
          <w:lang w:val="en-GB"/>
        </w:rPr>
        <w:t>.</w:t>
      </w:r>
    </w:p>
    <w:p w14:paraId="4F2FEE54" w14:textId="77777777" w:rsidR="00EC2338" w:rsidRPr="00942EDA" w:rsidRDefault="00EC2338" w:rsidP="009978AD">
      <w:pPr>
        <w:pStyle w:val="Default"/>
        <w:spacing w:before="120" w:after="120"/>
        <w:jc w:val="both"/>
        <w:rPr>
          <w:rFonts w:ascii="Times New Roman" w:hAnsi="Times New Roman" w:cs="Times New Roman"/>
          <w:lang w:val="en-GB"/>
        </w:rPr>
      </w:pPr>
    </w:p>
    <w:p w14:paraId="1BE5AE32" w14:textId="45396204" w:rsidR="00D0163D" w:rsidRPr="00942EDA" w:rsidRDefault="00D0163D" w:rsidP="009978AD">
      <w:pPr>
        <w:pStyle w:val="Default"/>
        <w:numPr>
          <w:ilvl w:val="0"/>
          <w:numId w:val="1"/>
        </w:numPr>
        <w:spacing w:before="120" w:after="120"/>
        <w:ind w:left="426" w:hanging="426"/>
        <w:jc w:val="both"/>
        <w:rPr>
          <w:rFonts w:ascii="Times New Roman" w:hAnsi="Times New Roman" w:cs="Times New Roman"/>
          <w:b/>
          <w:bCs/>
          <w:i/>
          <w:lang w:val="en-GB"/>
        </w:rPr>
      </w:pPr>
      <w:r w:rsidRPr="00942EDA">
        <w:rPr>
          <w:rFonts w:ascii="Times New Roman" w:hAnsi="Times New Roman" w:cs="Times New Roman"/>
          <w:b/>
          <w:bCs/>
          <w:i/>
          <w:lang w:val="en-GB"/>
        </w:rPr>
        <w:t xml:space="preserve">Corrective </w:t>
      </w:r>
      <w:r w:rsidR="006F537D">
        <w:rPr>
          <w:rFonts w:ascii="Times New Roman" w:hAnsi="Times New Roman" w:cs="Times New Roman"/>
          <w:b/>
          <w:bCs/>
          <w:i/>
          <w:lang w:val="en-GB"/>
        </w:rPr>
        <w:t>a</w:t>
      </w:r>
      <w:r w:rsidRPr="00942EDA">
        <w:rPr>
          <w:rFonts w:ascii="Times New Roman" w:hAnsi="Times New Roman" w:cs="Times New Roman"/>
          <w:b/>
          <w:bCs/>
          <w:i/>
          <w:lang w:val="en-GB"/>
        </w:rPr>
        <w:t>ctions:</w:t>
      </w:r>
    </w:p>
    <w:p w14:paraId="55586B16" w14:textId="3235C193" w:rsidR="00D0163D" w:rsidRPr="00942EDA" w:rsidRDefault="00D0163D"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 xml:space="preserve">This AMP recommends that when inspection findings indicate that significant changes from the normal design condition have occurred, the conditions are to be evaluated. This includes a technical assessment of the causes of distress or abnormal conditions, an evaluation of the </w:t>
      </w:r>
      <w:r w:rsidR="00EC2338" w:rsidRPr="00942EDA">
        <w:rPr>
          <w:rFonts w:ascii="Times New Roman" w:hAnsi="Times New Roman" w:cs="Times New Roman"/>
          <w:lang w:val="en-GB"/>
        </w:rPr>
        <w:t>behaviour</w:t>
      </w:r>
      <w:r w:rsidRPr="00942EDA">
        <w:rPr>
          <w:rFonts w:ascii="Times New Roman" w:hAnsi="Times New Roman" w:cs="Times New Roman"/>
          <w:lang w:val="en-GB"/>
        </w:rPr>
        <w:t xml:space="preserve"> or movement of the structure, and recommendations for remedial or mitigating measures. </w:t>
      </w:r>
    </w:p>
    <w:p w14:paraId="3C110A4D" w14:textId="77777777" w:rsidR="00D0163D" w:rsidRPr="00942EDA" w:rsidRDefault="00D0163D" w:rsidP="009978AD">
      <w:pPr>
        <w:pStyle w:val="Default"/>
        <w:spacing w:before="120" w:after="120"/>
        <w:jc w:val="both"/>
        <w:rPr>
          <w:rFonts w:ascii="Times New Roman" w:hAnsi="Times New Roman" w:cs="Times New Roman"/>
          <w:lang w:val="en-GB"/>
        </w:rPr>
      </w:pPr>
      <w:r w:rsidRPr="00942EDA">
        <w:rPr>
          <w:rFonts w:ascii="Times New Roman" w:hAnsi="Times New Roman" w:cs="Times New Roman"/>
          <w:lang w:val="en-GB"/>
        </w:rPr>
        <w:t>Typical corrective actions can be the followings:</w:t>
      </w:r>
    </w:p>
    <w:p w14:paraId="74C5079B" w14:textId="77777777" w:rsidR="00985EDA" w:rsidRPr="00942EDA" w:rsidRDefault="00985EDA" w:rsidP="00EC2338">
      <w:pPr>
        <w:pStyle w:val="Default"/>
        <w:numPr>
          <w:ilvl w:val="0"/>
          <w:numId w:val="2"/>
        </w:numPr>
        <w:spacing w:before="120" w:after="120"/>
        <w:ind w:left="714" w:hanging="357"/>
        <w:contextualSpacing/>
        <w:jc w:val="both"/>
        <w:rPr>
          <w:rFonts w:ascii="Times New Roman" w:hAnsi="Times New Roman" w:cs="Times New Roman"/>
          <w:bCs/>
          <w:iCs/>
          <w:lang w:val="en-GB"/>
        </w:rPr>
      </w:pPr>
      <w:r w:rsidRPr="00942EDA">
        <w:rPr>
          <w:rFonts w:ascii="Times New Roman" w:hAnsi="Times New Roman" w:cs="Times New Roman"/>
          <w:lang w:val="en-GB"/>
        </w:rPr>
        <w:t xml:space="preserve">Strengthening of </w:t>
      </w:r>
      <w:r w:rsidRPr="00942EDA">
        <w:rPr>
          <w:rFonts w:ascii="Times New Roman" w:hAnsi="Times New Roman" w:cs="Times New Roman"/>
          <w:bCs/>
          <w:iCs/>
          <w:lang w:val="en-GB"/>
        </w:rPr>
        <w:t xml:space="preserve">concrete and steel structures by various sustainable </w:t>
      </w:r>
      <w:proofErr w:type="gramStart"/>
      <w:r w:rsidRPr="00942EDA">
        <w:rPr>
          <w:rFonts w:ascii="Times New Roman" w:hAnsi="Times New Roman" w:cs="Times New Roman"/>
          <w:bCs/>
          <w:iCs/>
          <w:lang w:val="en-GB"/>
        </w:rPr>
        <w:t>techniques;</w:t>
      </w:r>
      <w:proofErr w:type="gramEnd"/>
    </w:p>
    <w:p w14:paraId="45C1CB21" w14:textId="6E19FEB5" w:rsidR="00985EDA" w:rsidRDefault="00985EDA" w:rsidP="009978AD">
      <w:pPr>
        <w:pStyle w:val="Default"/>
        <w:numPr>
          <w:ilvl w:val="0"/>
          <w:numId w:val="2"/>
        </w:numPr>
        <w:spacing w:before="120" w:after="120"/>
        <w:ind w:left="714" w:hanging="357"/>
        <w:jc w:val="both"/>
        <w:rPr>
          <w:rFonts w:ascii="Times New Roman" w:hAnsi="Times New Roman" w:cs="Times New Roman"/>
          <w:lang w:val="en-GB"/>
        </w:rPr>
      </w:pPr>
      <w:r w:rsidRPr="00942EDA">
        <w:rPr>
          <w:rFonts w:ascii="Times New Roman" w:hAnsi="Times New Roman" w:cs="Times New Roman"/>
          <w:lang w:val="en-GB"/>
        </w:rPr>
        <w:tab/>
        <w:t>Soil injection when settlement trend</w:t>
      </w:r>
      <w:r w:rsidR="001D11EB">
        <w:rPr>
          <w:rFonts w:ascii="Times New Roman" w:hAnsi="Times New Roman" w:cs="Times New Roman"/>
          <w:lang w:val="en-GB"/>
        </w:rPr>
        <w:t>s</w:t>
      </w:r>
      <w:r w:rsidRPr="00942EDA">
        <w:rPr>
          <w:rFonts w:ascii="Times New Roman" w:hAnsi="Times New Roman" w:cs="Times New Roman"/>
          <w:lang w:val="en-GB"/>
        </w:rPr>
        <w:t xml:space="preserve"> lead to </w:t>
      </w:r>
      <w:r w:rsidR="001D11EB">
        <w:rPr>
          <w:rFonts w:ascii="Times New Roman" w:hAnsi="Times New Roman" w:cs="Times New Roman"/>
          <w:lang w:val="en-GB"/>
        </w:rPr>
        <w:t xml:space="preserve">a </w:t>
      </w:r>
      <w:r w:rsidRPr="00942EDA">
        <w:rPr>
          <w:rFonts w:ascii="Times New Roman" w:hAnsi="Times New Roman" w:cs="Times New Roman"/>
          <w:lang w:val="en-GB"/>
        </w:rPr>
        <w:t>value beyond acceptance criteria</w:t>
      </w:r>
      <w:r w:rsidR="00EC2338">
        <w:rPr>
          <w:rFonts w:ascii="Times New Roman" w:hAnsi="Times New Roman" w:cs="Times New Roman"/>
          <w:lang w:val="en-GB"/>
        </w:rPr>
        <w:t>.</w:t>
      </w:r>
    </w:p>
    <w:p w14:paraId="6E0218FB" w14:textId="64BFE3F9" w:rsidR="00D71483" w:rsidRDefault="00D71483" w:rsidP="00D71483">
      <w:pPr>
        <w:pStyle w:val="Default"/>
        <w:spacing w:before="120" w:after="120"/>
        <w:jc w:val="both"/>
        <w:rPr>
          <w:rFonts w:ascii="Times New Roman" w:hAnsi="Times New Roman" w:cs="Times New Roman"/>
          <w:lang w:val="en-GB"/>
        </w:rPr>
      </w:pPr>
      <w:r>
        <w:rPr>
          <w:rFonts w:ascii="Times New Roman" w:hAnsi="Times New Roman" w:cs="Times New Roman"/>
          <w:lang w:val="en-GB"/>
        </w:rPr>
        <w:t>Corrective actions shall be consistent with applicable consensus rehabilitation guides or standards that are applicable to each country (e.g., ACI, CEN, CSA).</w:t>
      </w:r>
    </w:p>
    <w:p w14:paraId="3C1B0723" w14:textId="77777777" w:rsidR="00EC2338" w:rsidRPr="00942EDA" w:rsidRDefault="00EC2338" w:rsidP="00EC2338">
      <w:pPr>
        <w:pStyle w:val="Default"/>
        <w:spacing w:before="120" w:after="120"/>
        <w:jc w:val="both"/>
        <w:rPr>
          <w:rFonts w:ascii="Times New Roman" w:hAnsi="Times New Roman" w:cs="Times New Roman"/>
          <w:lang w:val="en-GB"/>
        </w:rPr>
      </w:pPr>
    </w:p>
    <w:p w14:paraId="369A9AB7" w14:textId="77777777" w:rsidR="00D0163D" w:rsidRPr="00942EDA" w:rsidRDefault="00D0163D" w:rsidP="009978AD">
      <w:pPr>
        <w:pStyle w:val="Default"/>
        <w:numPr>
          <w:ilvl w:val="0"/>
          <w:numId w:val="1"/>
        </w:numPr>
        <w:spacing w:before="120" w:after="120"/>
        <w:ind w:left="426" w:hanging="426"/>
        <w:jc w:val="both"/>
        <w:rPr>
          <w:rFonts w:ascii="Times New Roman" w:hAnsi="Times New Roman" w:cs="Times New Roman"/>
          <w:b/>
          <w:bCs/>
          <w:i/>
          <w:lang w:val="en-GB"/>
        </w:rPr>
      </w:pPr>
      <w:r w:rsidRPr="00942EDA">
        <w:rPr>
          <w:rFonts w:ascii="Times New Roman" w:hAnsi="Times New Roman" w:cs="Times New Roman"/>
          <w:b/>
          <w:bCs/>
          <w:i/>
          <w:lang w:val="en-GB"/>
        </w:rPr>
        <w:t xml:space="preserve">Operating experience feedback and feedback of research and </w:t>
      </w:r>
      <w:r w:rsidR="00244E22" w:rsidRPr="00942EDA">
        <w:rPr>
          <w:rFonts w:ascii="Times New Roman" w:hAnsi="Times New Roman" w:cs="Times New Roman"/>
          <w:b/>
          <w:bCs/>
          <w:i/>
          <w:lang w:val="en-GB"/>
        </w:rPr>
        <w:t>development</w:t>
      </w:r>
      <w:r w:rsidRPr="00942EDA">
        <w:rPr>
          <w:rFonts w:ascii="Times New Roman" w:hAnsi="Times New Roman" w:cs="Times New Roman"/>
          <w:b/>
          <w:bCs/>
          <w:i/>
          <w:lang w:val="en-GB"/>
        </w:rPr>
        <w:t xml:space="preserve"> results:</w:t>
      </w:r>
    </w:p>
    <w:p w14:paraId="642E1D45" w14:textId="4021140E" w:rsidR="00D0163D" w:rsidRPr="00942EDA" w:rsidRDefault="00D0163D" w:rsidP="009978AD">
      <w:pPr>
        <w:pStyle w:val="Default"/>
        <w:spacing w:before="120" w:after="120"/>
        <w:jc w:val="both"/>
        <w:rPr>
          <w:rFonts w:ascii="Times New Roman" w:hAnsi="Times New Roman" w:cs="Times New Roman"/>
          <w:bCs/>
          <w:lang w:val="en-GB"/>
        </w:rPr>
      </w:pPr>
      <w:r w:rsidRPr="00942EDA">
        <w:rPr>
          <w:rFonts w:ascii="Times New Roman" w:hAnsi="Times New Roman" w:cs="Times New Roman"/>
          <w:bCs/>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t>
      </w:r>
      <w:r w:rsidRPr="00942EDA">
        <w:rPr>
          <w:rFonts w:ascii="Times New Roman" w:hAnsi="Times New Roman" w:cs="Times New Roman"/>
          <w:bCs/>
          <w:lang w:val="en-GB"/>
        </w:rPr>
        <w:lastRenderedPageBreak/>
        <w:t xml:space="preserve">wide </w:t>
      </w:r>
      <w:r w:rsidR="00D71483">
        <w:rPr>
          <w:rFonts w:ascii="Times New Roman" w:hAnsi="Times New Roman" w:cs="Times New Roman"/>
          <w:bCs/>
          <w:lang w:val="en-GB"/>
        </w:rPr>
        <w:t>OPEX</w:t>
      </w:r>
      <w:r w:rsidRPr="00942EDA">
        <w:rPr>
          <w:rFonts w:ascii="Times New Roman" w:hAnsi="Times New Roman" w:cs="Times New Roman"/>
          <w:bCs/>
          <w:lang w:val="en-GB"/>
        </w:rPr>
        <w:t xml:space="preserve"> and R&amp;D results, and, as necessary, either modifies the plant AMP or takes additional actions (</w:t>
      </w:r>
      <w:r w:rsidR="00C534FE" w:rsidRPr="00942EDA">
        <w:rPr>
          <w:rFonts w:ascii="Times New Roman" w:hAnsi="Times New Roman" w:cs="Times New Roman"/>
          <w:bCs/>
          <w:lang w:val="en-GB"/>
        </w:rPr>
        <w:t>e.g.,</w:t>
      </w:r>
      <w:r w:rsidRPr="00942EDA">
        <w:rPr>
          <w:rFonts w:ascii="Times New Roman" w:hAnsi="Times New Roman" w:cs="Times New Roman"/>
          <w:bCs/>
          <w:lang w:val="en-GB"/>
        </w:rPr>
        <w:t xml:space="preserve"> develop a new plant-specific AMP) to ensure the continued effectiveness of ageing management.</w:t>
      </w:r>
    </w:p>
    <w:p w14:paraId="5825C225" w14:textId="0E43C58A" w:rsidR="006908C3" w:rsidRPr="00942EDA" w:rsidRDefault="006908C3" w:rsidP="009978AD">
      <w:pPr>
        <w:pStyle w:val="Default"/>
        <w:spacing w:before="120" w:after="120"/>
        <w:jc w:val="both"/>
        <w:rPr>
          <w:rFonts w:ascii="Times New Roman" w:hAnsi="Times New Roman" w:cs="Times New Roman"/>
          <w:bCs/>
          <w:lang w:val="en-GB"/>
        </w:rPr>
      </w:pPr>
      <w:r w:rsidRPr="00942EDA">
        <w:rPr>
          <w:rFonts w:ascii="Times New Roman" w:hAnsi="Times New Roman" w:cs="Times New Roman"/>
          <w:bCs/>
          <w:lang w:val="en-GB"/>
        </w:rPr>
        <w:t>There is a need to improve understanding, detection and mitigation of processes affecting ag</w:t>
      </w:r>
      <w:r w:rsidR="00700589">
        <w:rPr>
          <w:rFonts w:ascii="Times New Roman" w:hAnsi="Times New Roman" w:cs="Times New Roman"/>
          <w:bCs/>
          <w:lang w:val="en-GB"/>
        </w:rPr>
        <w:t>e</w:t>
      </w:r>
      <w:r w:rsidRPr="00942EDA">
        <w:rPr>
          <w:rFonts w:ascii="Times New Roman" w:hAnsi="Times New Roman" w:cs="Times New Roman"/>
          <w:bCs/>
          <w:lang w:val="en-GB"/>
        </w:rPr>
        <w:t xml:space="preserve">ing and deterioration of concrete in </w:t>
      </w:r>
      <w:r w:rsidRPr="00942EDA">
        <w:rPr>
          <w:rFonts w:ascii="Times New Roman" w:hAnsi="Times New Roman" w:cs="Times New Roman"/>
          <w:color w:val="auto"/>
          <w:lang w:val="en-GB"/>
        </w:rPr>
        <w:t xml:space="preserve">spent fuel storage structures </w:t>
      </w:r>
      <w:r w:rsidRPr="00942EDA">
        <w:rPr>
          <w:rFonts w:ascii="Times New Roman" w:hAnsi="Times New Roman" w:cs="Times New Roman"/>
          <w:bCs/>
          <w:lang w:val="en-GB"/>
        </w:rPr>
        <w:t>which might be subjected to stressors and lifetime expectations that are not typical for structures from which most information on ag</w:t>
      </w:r>
      <w:r w:rsidR="00700589">
        <w:rPr>
          <w:rFonts w:ascii="Times New Roman" w:hAnsi="Times New Roman" w:cs="Times New Roman"/>
          <w:bCs/>
          <w:lang w:val="en-GB"/>
        </w:rPr>
        <w:t>e</w:t>
      </w:r>
      <w:r w:rsidRPr="00942EDA">
        <w:rPr>
          <w:rFonts w:ascii="Times New Roman" w:hAnsi="Times New Roman" w:cs="Times New Roman"/>
          <w:bCs/>
          <w:lang w:val="en-GB"/>
        </w:rPr>
        <w:t>ing and deterioration of concrete is available.</w:t>
      </w:r>
    </w:p>
    <w:p w14:paraId="3B95FCBA" w14:textId="22EDA9EE" w:rsidR="00D0163D" w:rsidRDefault="00D0163D" w:rsidP="009978AD">
      <w:pPr>
        <w:pStyle w:val="Default"/>
        <w:spacing w:before="120" w:after="120"/>
        <w:jc w:val="both"/>
        <w:rPr>
          <w:rFonts w:ascii="Times New Roman" w:hAnsi="Times New Roman" w:cs="Times New Roman"/>
          <w:bCs/>
          <w:lang w:val="en-GB"/>
        </w:rPr>
      </w:pPr>
      <w:r w:rsidRPr="00942EDA">
        <w:rPr>
          <w:rFonts w:ascii="Times New Roman" w:hAnsi="Times New Roman" w:cs="Times New Roman"/>
          <w:bCs/>
          <w:lang w:val="en-GB"/>
        </w:rPr>
        <w:t>A</w:t>
      </w:r>
      <w:r w:rsidR="002C21C2">
        <w:rPr>
          <w:rFonts w:ascii="Times New Roman" w:hAnsi="Times New Roman" w:cs="Times New Roman"/>
          <w:bCs/>
          <w:lang w:val="en-GB"/>
        </w:rPr>
        <w:t>n a</w:t>
      </w:r>
      <w:r w:rsidRPr="00942EDA">
        <w:rPr>
          <w:rFonts w:ascii="Times New Roman" w:hAnsi="Times New Roman" w:cs="Times New Roman"/>
          <w:bCs/>
          <w:lang w:val="en-GB"/>
        </w:rPr>
        <w:t xml:space="preserve">ppropriate source of external operating experience is Ageing Management of Concrete Structures in Nuclear Power Plants, IAEA Nuclear Energy Series No. NP-T-3.5, 2016 </w:t>
      </w:r>
      <w:r w:rsidR="006F4095" w:rsidRPr="006F4095">
        <w:rPr>
          <w:rFonts w:ascii="Times New Roman" w:hAnsi="Times New Roman" w:cs="Times New Roman"/>
          <w:bCs/>
          <w:lang w:val="en-GB"/>
        </w:rPr>
        <w:fldChar w:fldCharType="begin"/>
      </w:r>
      <w:r w:rsidR="006F4095" w:rsidRPr="006F4095">
        <w:rPr>
          <w:rFonts w:ascii="Times New Roman" w:hAnsi="Times New Roman" w:cs="Times New Roman"/>
          <w:bCs/>
          <w:lang w:val="en-GB"/>
        </w:rPr>
        <w:instrText xml:space="preserve"> REF _Ref156400369 \r \h </w:instrText>
      </w:r>
      <w:r w:rsidR="006F4095">
        <w:rPr>
          <w:rFonts w:ascii="Times New Roman" w:hAnsi="Times New Roman" w:cs="Times New Roman"/>
          <w:bCs/>
          <w:lang w:val="en-GB"/>
        </w:rPr>
        <w:instrText xml:space="preserve"> \* MERGEFORMAT </w:instrText>
      </w:r>
      <w:r w:rsidR="006F4095" w:rsidRPr="006F4095">
        <w:rPr>
          <w:rFonts w:ascii="Times New Roman" w:hAnsi="Times New Roman" w:cs="Times New Roman"/>
          <w:bCs/>
          <w:lang w:val="en-GB"/>
        </w:rPr>
      </w:r>
      <w:r w:rsidR="006F4095" w:rsidRPr="006F4095">
        <w:rPr>
          <w:rFonts w:ascii="Times New Roman" w:hAnsi="Times New Roman" w:cs="Times New Roman"/>
          <w:bCs/>
          <w:lang w:val="en-GB"/>
        </w:rPr>
        <w:fldChar w:fldCharType="separate"/>
      </w:r>
      <w:r w:rsidR="006F4095" w:rsidRPr="006F4095">
        <w:rPr>
          <w:rFonts w:ascii="Times New Roman" w:hAnsi="Times New Roman" w:cs="Times New Roman"/>
          <w:bCs/>
          <w:lang w:val="en-GB"/>
        </w:rPr>
        <w:t>[10]</w:t>
      </w:r>
      <w:r w:rsidR="006F4095" w:rsidRPr="006F4095">
        <w:rPr>
          <w:rFonts w:ascii="Times New Roman" w:hAnsi="Times New Roman" w:cs="Times New Roman"/>
          <w:bCs/>
          <w:lang w:val="en-GB"/>
        </w:rPr>
        <w:fldChar w:fldCharType="end"/>
      </w:r>
      <w:r w:rsidRPr="006F4095">
        <w:rPr>
          <w:rFonts w:ascii="Times New Roman" w:hAnsi="Times New Roman" w:cs="Times New Roman"/>
          <w:bCs/>
          <w:lang w:val="en-GB"/>
        </w:rPr>
        <w:t>.</w:t>
      </w:r>
    </w:p>
    <w:p w14:paraId="6F81303D" w14:textId="77777777" w:rsidR="002C21C2" w:rsidRPr="00942EDA" w:rsidRDefault="002C21C2" w:rsidP="009978AD">
      <w:pPr>
        <w:pStyle w:val="Default"/>
        <w:spacing w:before="120" w:after="120"/>
        <w:jc w:val="both"/>
        <w:rPr>
          <w:rFonts w:ascii="Times New Roman" w:hAnsi="Times New Roman" w:cs="Times New Roman"/>
          <w:bCs/>
          <w:lang w:val="en-GB"/>
        </w:rPr>
      </w:pPr>
    </w:p>
    <w:p w14:paraId="040D4C02" w14:textId="411EE2D1" w:rsidR="00D0163D" w:rsidRPr="00942EDA" w:rsidRDefault="00D0163D" w:rsidP="009978AD">
      <w:pPr>
        <w:pStyle w:val="Default"/>
        <w:numPr>
          <w:ilvl w:val="0"/>
          <w:numId w:val="1"/>
        </w:numPr>
        <w:spacing w:before="120" w:after="120"/>
        <w:ind w:left="426" w:hanging="426"/>
        <w:jc w:val="both"/>
        <w:rPr>
          <w:rFonts w:ascii="Times New Roman" w:hAnsi="Times New Roman" w:cs="Times New Roman"/>
          <w:b/>
          <w:bCs/>
          <w:i/>
          <w:lang w:val="en-GB"/>
        </w:rPr>
      </w:pPr>
      <w:r w:rsidRPr="00942EDA">
        <w:rPr>
          <w:rFonts w:ascii="Times New Roman" w:hAnsi="Times New Roman" w:cs="Times New Roman"/>
          <w:b/>
          <w:bCs/>
          <w:i/>
          <w:lang w:val="en-GB"/>
        </w:rPr>
        <w:t xml:space="preserve">Quality </w:t>
      </w:r>
      <w:r w:rsidR="006F537D">
        <w:rPr>
          <w:rFonts w:ascii="Times New Roman" w:hAnsi="Times New Roman" w:cs="Times New Roman"/>
          <w:b/>
          <w:bCs/>
          <w:i/>
          <w:lang w:val="en-GB"/>
        </w:rPr>
        <w:t>m</w:t>
      </w:r>
      <w:r w:rsidRPr="00942EDA">
        <w:rPr>
          <w:rFonts w:ascii="Times New Roman" w:hAnsi="Times New Roman" w:cs="Times New Roman"/>
          <w:b/>
          <w:bCs/>
          <w:i/>
          <w:lang w:val="en-GB"/>
        </w:rPr>
        <w:t>anagement:</w:t>
      </w:r>
    </w:p>
    <w:p w14:paraId="60A63E5B" w14:textId="48BE033C" w:rsidR="001E381A" w:rsidRPr="001E381A" w:rsidRDefault="008B739C" w:rsidP="001E381A">
      <w:pPr>
        <w:spacing w:before="120" w:after="120" w:line="240" w:lineRule="auto"/>
        <w:rPr>
          <w:rFonts w:ascii="Times New Roman" w:hAnsi="Times New Roman"/>
          <w:iCs/>
          <w:sz w:val="24"/>
          <w:szCs w:val="24"/>
          <w:lang w:val="en-GB"/>
        </w:rPr>
      </w:pPr>
      <w:r w:rsidRPr="00942EDA">
        <w:rPr>
          <w:rFonts w:ascii="Times New Roman" w:hAnsi="Times New Roman"/>
          <w:iCs/>
          <w:sz w:val="24"/>
          <w:szCs w:val="24"/>
          <w:lang w:val="en-GB"/>
        </w:rPr>
        <w:t>In line with SSG-48</w:t>
      </w:r>
      <w:r w:rsidR="00F74977">
        <w:rPr>
          <w:rFonts w:ascii="Times New Roman" w:hAnsi="Times New Roman"/>
          <w:iCs/>
          <w:sz w:val="24"/>
          <w:szCs w:val="24"/>
          <w:lang w:val="en-GB"/>
        </w:rPr>
        <w:t xml:space="preserve"> </w:t>
      </w:r>
      <w:r w:rsidR="00F74977">
        <w:rPr>
          <w:rFonts w:ascii="Times New Roman" w:hAnsi="Times New Roman"/>
          <w:iCs/>
          <w:sz w:val="24"/>
          <w:szCs w:val="24"/>
          <w:lang w:val="en-GB"/>
        </w:rPr>
        <w:fldChar w:fldCharType="begin"/>
      </w:r>
      <w:r w:rsidR="00F74977">
        <w:rPr>
          <w:rFonts w:ascii="Times New Roman" w:hAnsi="Times New Roman"/>
          <w:iCs/>
          <w:sz w:val="24"/>
          <w:szCs w:val="24"/>
          <w:lang w:val="en-GB"/>
        </w:rPr>
        <w:instrText xml:space="preserve"> REF _Ref156400580 \r \h </w:instrText>
      </w:r>
      <w:r w:rsidR="00F74977">
        <w:rPr>
          <w:rFonts w:ascii="Times New Roman" w:hAnsi="Times New Roman"/>
          <w:iCs/>
          <w:sz w:val="24"/>
          <w:szCs w:val="24"/>
          <w:lang w:val="en-GB"/>
        </w:rPr>
      </w:r>
      <w:r w:rsidR="00F74977">
        <w:rPr>
          <w:rFonts w:ascii="Times New Roman" w:hAnsi="Times New Roman"/>
          <w:iCs/>
          <w:sz w:val="24"/>
          <w:szCs w:val="24"/>
          <w:lang w:val="en-GB"/>
        </w:rPr>
        <w:fldChar w:fldCharType="separate"/>
      </w:r>
      <w:r w:rsidR="00F74977">
        <w:rPr>
          <w:rFonts w:ascii="Times New Roman" w:hAnsi="Times New Roman"/>
          <w:iCs/>
          <w:sz w:val="24"/>
          <w:szCs w:val="24"/>
          <w:lang w:val="en-GB"/>
        </w:rPr>
        <w:t>[11]</w:t>
      </w:r>
      <w:r w:rsidR="00F74977">
        <w:rPr>
          <w:rFonts w:ascii="Times New Roman" w:hAnsi="Times New Roman"/>
          <w:iCs/>
          <w:sz w:val="24"/>
          <w:szCs w:val="24"/>
          <w:lang w:val="en-GB"/>
        </w:rPr>
        <w:fldChar w:fldCharType="end"/>
      </w:r>
      <w:r w:rsidRPr="00942EDA">
        <w:rPr>
          <w:rFonts w:ascii="Times New Roman" w:hAnsi="Times New Roman"/>
          <w:iCs/>
          <w:sz w:val="24"/>
          <w:szCs w:val="24"/>
          <w:lang w:val="en-GB"/>
        </w:rPr>
        <w:t xml:space="preserve">, Section 4.9 of IGALL Safety Report </w:t>
      </w:r>
      <w:r w:rsidR="00F74977">
        <w:rPr>
          <w:rFonts w:ascii="Times New Roman" w:hAnsi="Times New Roman"/>
          <w:iCs/>
          <w:sz w:val="24"/>
          <w:szCs w:val="24"/>
          <w:lang w:val="en-GB"/>
        </w:rPr>
        <w:fldChar w:fldCharType="begin"/>
      </w:r>
      <w:r w:rsidR="00F74977">
        <w:rPr>
          <w:rFonts w:ascii="Times New Roman" w:hAnsi="Times New Roman"/>
          <w:iCs/>
          <w:sz w:val="24"/>
          <w:szCs w:val="24"/>
          <w:lang w:val="en-GB"/>
        </w:rPr>
        <w:instrText xml:space="preserve"> REF _Ref156400590 \r \h </w:instrText>
      </w:r>
      <w:r w:rsidR="00F74977">
        <w:rPr>
          <w:rFonts w:ascii="Times New Roman" w:hAnsi="Times New Roman"/>
          <w:iCs/>
          <w:sz w:val="24"/>
          <w:szCs w:val="24"/>
          <w:lang w:val="en-GB"/>
        </w:rPr>
      </w:r>
      <w:r w:rsidR="00F74977">
        <w:rPr>
          <w:rFonts w:ascii="Times New Roman" w:hAnsi="Times New Roman"/>
          <w:iCs/>
          <w:sz w:val="24"/>
          <w:szCs w:val="24"/>
          <w:lang w:val="en-GB"/>
        </w:rPr>
        <w:fldChar w:fldCharType="separate"/>
      </w:r>
      <w:r w:rsidR="00F74977">
        <w:rPr>
          <w:rFonts w:ascii="Times New Roman" w:hAnsi="Times New Roman"/>
          <w:iCs/>
          <w:sz w:val="24"/>
          <w:szCs w:val="24"/>
          <w:lang w:val="en-GB"/>
        </w:rPr>
        <w:t>[12]</w:t>
      </w:r>
      <w:r w:rsidR="00F74977">
        <w:rPr>
          <w:rFonts w:ascii="Times New Roman" w:hAnsi="Times New Roman"/>
          <w:iCs/>
          <w:sz w:val="24"/>
          <w:szCs w:val="24"/>
          <w:lang w:val="en-GB"/>
        </w:rPr>
        <w:fldChar w:fldCharType="end"/>
      </w:r>
      <w:r w:rsidR="00F74977">
        <w:rPr>
          <w:rFonts w:ascii="Times New Roman" w:hAnsi="Times New Roman"/>
          <w:iCs/>
          <w:sz w:val="24"/>
          <w:szCs w:val="24"/>
          <w:lang w:val="en-GB"/>
        </w:rPr>
        <w:t xml:space="preserve"> </w:t>
      </w:r>
      <w:r w:rsidRPr="00942EDA">
        <w:rPr>
          <w:rFonts w:ascii="Times New Roman" w:hAnsi="Times New Roman"/>
          <w:iCs/>
          <w:sz w:val="24"/>
          <w:szCs w:val="24"/>
          <w:lang w:val="en-GB"/>
        </w:rPr>
        <w:t>gives general information about the expected contents of this attribute in terms of (a) administrative controls, (b) safety analysis report supplements, (c) performance indicators, (d) confirmation (verification) process and (e) data collection and record keeping</w:t>
      </w:r>
      <w:r w:rsidR="001E381A">
        <w:rPr>
          <w:rFonts w:ascii="Times New Roman" w:hAnsi="Times New Roman"/>
          <w:iCs/>
          <w:sz w:val="24"/>
          <w:szCs w:val="24"/>
          <w:lang w:val="en-GB"/>
        </w:rPr>
        <w:t xml:space="preserve">. </w:t>
      </w:r>
      <w:r w:rsidR="001E381A" w:rsidRPr="001E381A">
        <w:rPr>
          <w:rFonts w:ascii="Times New Roman" w:hAnsi="Times New Roman"/>
          <w:iCs/>
          <w:sz w:val="24"/>
          <w:szCs w:val="24"/>
          <w:lang w:val="en-GB"/>
        </w:rPr>
        <w:t>Further guidance is available in Paras 3.13.16 – 3.13.17 of SSG-61</w:t>
      </w:r>
      <w:r w:rsidR="00C63A07">
        <w:rPr>
          <w:rFonts w:ascii="Times New Roman" w:hAnsi="Times New Roman"/>
          <w:iCs/>
          <w:sz w:val="24"/>
          <w:szCs w:val="24"/>
          <w:lang w:val="en-GB"/>
        </w:rPr>
        <w:t xml:space="preserve"> </w:t>
      </w:r>
      <w:r w:rsidR="00C63A07">
        <w:rPr>
          <w:rFonts w:ascii="Times New Roman" w:hAnsi="Times New Roman"/>
          <w:iCs/>
          <w:sz w:val="24"/>
          <w:szCs w:val="24"/>
          <w:lang w:val="en-GB"/>
        </w:rPr>
        <w:fldChar w:fldCharType="begin"/>
      </w:r>
      <w:r w:rsidR="00C63A07">
        <w:rPr>
          <w:rFonts w:ascii="Times New Roman" w:hAnsi="Times New Roman"/>
          <w:iCs/>
          <w:sz w:val="24"/>
          <w:szCs w:val="24"/>
          <w:lang w:val="en-GB"/>
        </w:rPr>
        <w:instrText xml:space="preserve"> REF _Ref156400910 \r \h </w:instrText>
      </w:r>
      <w:r w:rsidR="00C63A07">
        <w:rPr>
          <w:rFonts w:ascii="Times New Roman" w:hAnsi="Times New Roman"/>
          <w:iCs/>
          <w:sz w:val="24"/>
          <w:szCs w:val="24"/>
          <w:lang w:val="en-GB"/>
        </w:rPr>
      </w:r>
      <w:r w:rsidR="00C63A07">
        <w:rPr>
          <w:rFonts w:ascii="Times New Roman" w:hAnsi="Times New Roman"/>
          <w:iCs/>
          <w:sz w:val="24"/>
          <w:szCs w:val="24"/>
          <w:lang w:val="en-GB"/>
        </w:rPr>
        <w:fldChar w:fldCharType="separate"/>
      </w:r>
      <w:r w:rsidR="00C63A07">
        <w:rPr>
          <w:rFonts w:ascii="Times New Roman" w:hAnsi="Times New Roman"/>
          <w:iCs/>
          <w:sz w:val="24"/>
          <w:szCs w:val="24"/>
          <w:lang w:val="en-GB"/>
        </w:rPr>
        <w:t>[13]</w:t>
      </w:r>
      <w:r w:rsidR="00C63A07">
        <w:rPr>
          <w:rFonts w:ascii="Times New Roman" w:hAnsi="Times New Roman"/>
          <w:iCs/>
          <w:sz w:val="24"/>
          <w:szCs w:val="24"/>
          <w:lang w:val="en-GB"/>
        </w:rPr>
        <w:fldChar w:fldCharType="end"/>
      </w:r>
      <w:r w:rsidR="001E381A" w:rsidRPr="001E381A">
        <w:rPr>
          <w:rFonts w:ascii="Times New Roman" w:hAnsi="Times New Roman"/>
          <w:iCs/>
          <w:sz w:val="24"/>
          <w:szCs w:val="24"/>
          <w:lang w:val="en-GB"/>
        </w:rPr>
        <w:t xml:space="preserve"> on the safety analysis report supplements, in GS-G-3.1 </w:t>
      </w:r>
      <w:r w:rsidR="006C3CD7">
        <w:rPr>
          <w:rFonts w:ascii="Times New Roman" w:hAnsi="Times New Roman"/>
          <w:iCs/>
          <w:sz w:val="24"/>
          <w:szCs w:val="24"/>
          <w:lang w:val="en-GB"/>
        </w:rPr>
        <w:fldChar w:fldCharType="begin"/>
      </w:r>
      <w:r w:rsidR="006C3CD7">
        <w:rPr>
          <w:rFonts w:ascii="Times New Roman" w:hAnsi="Times New Roman"/>
          <w:iCs/>
          <w:sz w:val="24"/>
          <w:szCs w:val="24"/>
          <w:lang w:val="en-GB"/>
        </w:rPr>
        <w:instrText xml:space="preserve"> REF _Ref156400922 \r \h </w:instrText>
      </w:r>
      <w:r w:rsidR="006C3CD7">
        <w:rPr>
          <w:rFonts w:ascii="Times New Roman" w:hAnsi="Times New Roman"/>
          <w:iCs/>
          <w:sz w:val="24"/>
          <w:szCs w:val="24"/>
          <w:lang w:val="en-GB"/>
        </w:rPr>
      </w:r>
      <w:r w:rsidR="006C3CD7">
        <w:rPr>
          <w:rFonts w:ascii="Times New Roman" w:hAnsi="Times New Roman"/>
          <w:iCs/>
          <w:sz w:val="24"/>
          <w:szCs w:val="24"/>
          <w:lang w:val="en-GB"/>
        </w:rPr>
        <w:fldChar w:fldCharType="separate"/>
      </w:r>
      <w:r w:rsidR="006C3CD7">
        <w:rPr>
          <w:rFonts w:ascii="Times New Roman" w:hAnsi="Times New Roman"/>
          <w:iCs/>
          <w:sz w:val="24"/>
          <w:szCs w:val="24"/>
          <w:lang w:val="en-GB"/>
        </w:rPr>
        <w:t>[14]</w:t>
      </w:r>
      <w:r w:rsidR="006C3CD7">
        <w:rPr>
          <w:rFonts w:ascii="Times New Roman" w:hAnsi="Times New Roman"/>
          <w:iCs/>
          <w:sz w:val="24"/>
          <w:szCs w:val="24"/>
          <w:lang w:val="en-GB"/>
        </w:rPr>
        <w:fldChar w:fldCharType="end"/>
      </w:r>
      <w:r w:rsidR="001E381A" w:rsidRPr="001E381A">
        <w:rPr>
          <w:rFonts w:ascii="Times New Roman" w:hAnsi="Times New Roman"/>
          <w:iCs/>
          <w:sz w:val="24"/>
          <w:szCs w:val="24"/>
          <w:lang w:val="en-GB"/>
        </w:rPr>
        <w:t xml:space="preserve"> on the confirmation process (paras 6.76 – 6.77 for preventive actions and paras 6.66 – 6.75 for corrective actions), while Section 2 of SRS No. 106 </w:t>
      </w:r>
      <w:r w:rsidR="006C3CD7">
        <w:rPr>
          <w:rFonts w:ascii="Times New Roman" w:hAnsi="Times New Roman"/>
          <w:iCs/>
          <w:sz w:val="24"/>
          <w:szCs w:val="24"/>
          <w:lang w:val="en-GB"/>
        </w:rPr>
        <w:fldChar w:fldCharType="begin"/>
      </w:r>
      <w:r w:rsidR="006C3CD7">
        <w:rPr>
          <w:rFonts w:ascii="Times New Roman" w:hAnsi="Times New Roman"/>
          <w:iCs/>
          <w:sz w:val="24"/>
          <w:szCs w:val="24"/>
          <w:lang w:val="en-GB"/>
        </w:rPr>
        <w:instrText xml:space="preserve"> REF _Ref156400933 \r \h </w:instrText>
      </w:r>
      <w:r w:rsidR="006C3CD7">
        <w:rPr>
          <w:rFonts w:ascii="Times New Roman" w:hAnsi="Times New Roman"/>
          <w:iCs/>
          <w:sz w:val="24"/>
          <w:szCs w:val="24"/>
          <w:lang w:val="en-GB"/>
        </w:rPr>
      </w:r>
      <w:r w:rsidR="006C3CD7">
        <w:rPr>
          <w:rFonts w:ascii="Times New Roman" w:hAnsi="Times New Roman"/>
          <w:iCs/>
          <w:sz w:val="24"/>
          <w:szCs w:val="24"/>
          <w:lang w:val="en-GB"/>
        </w:rPr>
        <w:fldChar w:fldCharType="separate"/>
      </w:r>
      <w:r w:rsidR="006C3CD7">
        <w:rPr>
          <w:rFonts w:ascii="Times New Roman" w:hAnsi="Times New Roman"/>
          <w:iCs/>
          <w:sz w:val="24"/>
          <w:szCs w:val="24"/>
          <w:lang w:val="en-GB"/>
        </w:rPr>
        <w:t>[15]</w:t>
      </w:r>
      <w:r w:rsidR="006C3CD7">
        <w:rPr>
          <w:rFonts w:ascii="Times New Roman" w:hAnsi="Times New Roman"/>
          <w:iCs/>
          <w:sz w:val="24"/>
          <w:szCs w:val="24"/>
          <w:lang w:val="en-GB"/>
        </w:rPr>
        <w:fldChar w:fldCharType="end"/>
      </w:r>
      <w:r w:rsidR="001E381A" w:rsidRPr="001E381A">
        <w:rPr>
          <w:rFonts w:ascii="Times New Roman" w:hAnsi="Times New Roman"/>
          <w:iCs/>
          <w:sz w:val="24"/>
          <w:szCs w:val="24"/>
          <w:lang w:val="en-GB"/>
        </w:rPr>
        <w:t xml:space="preserve"> contains good practices on data collection and record keeping for ageing management.</w:t>
      </w:r>
    </w:p>
    <w:p w14:paraId="4CB85BF6" w14:textId="18F8AF84" w:rsidR="000876DC" w:rsidRPr="00942EDA" w:rsidRDefault="0038691E" w:rsidP="009978AD">
      <w:pPr>
        <w:pStyle w:val="Body"/>
        <w:numPr>
          <w:ilvl w:val="0"/>
          <w:numId w:val="0"/>
        </w:numPr>
        <w:jc w:val="both"/>
        <w:rPr>
          <w:rFonts w:ascii="Times New Roman" w:hAnsi="Times New Roman"/>
          <w:iCs/>
          <w:sz w:val="24"/>
          <w:szCs w:val="24"/>
          <w:lang w:val="en-GB"/>
        </w:rPr>
      </w:pPr>
      <w:r w:rsidRPr="00942EDA">
        <w:rPr>
          <w:rFonts w:ascii="Times New Roman" w:hAnsi="Times New Roman"/>
          <w:iCs/>
          <w:sz w:val="24"/>
          <w:szCs w:val="24"/>
          <w:lang w:val="en-GB"/>
        </w:rPr>
        <w:t xml:space="preserve">No additional specific information </w:t>
      </w:r>
      <w:r w:rsidR="00920EC2">
        <w:rPr>
          <w:rFonts w:ascii="Times New Roman" w:hAnsi="Times New Roman"/>
          <w:iCs/>
          <w:sz w:val="24"/>
          <w:szCs w:val="24"/>
          <w:lang w:val="en-GB"/>
        </w:rPr>
        <w:t xml:space="preserve">is </w:t>
      </w:r>
      <w:r w:rsidRPr="00942EDA">
        <w:rPr>
          <w:rFonts w:ascii="Times New Roman" w:hAnsi="Times New Roman"/>
          <w:iCs/>
          <w:sz w:val="24"/>
          <w:szCs w:val="24"/>
          <w:lang w:val="en-GB"/>
        </w:rPr>
        <w:t>available for this AMP</w:t>
      </w:r>
      <w:r w:rsidR="001D11EB">
        <w:rPr>
          <w:rFonts w:ascii="Times New Roman" w:hAnsi="Times New Roman"/>
          <w:iCs/>
          <w:sz w:val="24"/>
          <w:szCs w:val="24"/>
          <w:lang w:val="en-GB"/>
        </w:rPr>
        <w:t>.</w:t>
      </w:r>
    </w:p>
    <w:p w14:paraId="4A3627A6" w14:textId="77777777" w:rsidR="009976F1" w:rsidRPr="00942EDA" w:rsidRDefault="009976F1" w:rsidP="00160824">
      <w:pPr>
        <w:pStyle w:val="Body"/>
        <w:numPr>
          <w:ilvl w:val="0"/>
          <w:numId w:val="0"/>
        </w:numPr>
        <w:jc w:val="both"/>
        <w:rPr>
          <w:rFonts w:ascii="Times New Roman" w:hAnsi="Times New Roman"/>
          <w:iCs/>
          <w:sz w:val="24"/>
          <w:szCs w:val="24"/>
          <w:lang w:val="en-GB"/>
        </w:rPr>
      </w:pPr>
    </w:p>
    <w:p w14:paraId="1A9BEC31" w14:textId="1C65C401" w:rsidR="00D0163D" w:rsidRPr="00F74977" w:rsidRDefault="00D0163D" w:rsidP="00160824">
      <w:pPr>
        <w:pStyle w:val="Default"/>
        <w:spacing w:before="120" w:after="120"/>
        <w:jc w:val="both"/>
        <w:rPr>
          <w:rFonts w:ascii="Times New Roman" w:hAnsi="Times New Roman" w:cs="Times New Roman"/>
          <w:b/>
          <w:bCs/>
          <w:lang w:val="en-GB"/>
        </w:rPr>
      </w:pPr>
      <w:r w:rsidRPr="00942EDA">
        <w:rPr>
          <w:rFonts w:ascii="Times New Roman" w:hAnsi="Times New Roman" w:cs="Times New Roman"/>
          <w:b/>
          <w:bCs/>
          <w:lang w:val="en-GB"/>
        </w:rPr>
        <w:t>References</w:t>
      </w:r>
    </w:p>
    <w:p w14:paraId="185EA219" w14:textId="2CDE2B49" w:rsidR="002C64AF" w:rsidRPr="00F74977" w:rsidRDefault="00E247A6"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0" w:name="_Ref156399901"/>
      <w:r w:rsidRPr="00F74977">
        <w:rPr>
          <w:rFonts w:ascii="Times New Roman" w:hAnsi="Times New Roman"/>
          <w:sz w:val="24"/>
          <w:szCs w:val="24"/>
          <w:lang w:val="en-GB"/>
        </w:rPr>
        <w:t>UNITED STATES NUCLEAR REGULATORY COMMISSION</w:t>
      </w:r>
      <w:r w:rsidR="002C64AF" w:rsidRPr="00F74977">
        <w:rPr>
          <w:rFonts w:ascii="Times New Roman" w:hAnsi="Times New Roman"/>
          <w:sz w:val="24"/>
          <w:szCs w:val="24"/>
          <w:lang w:val="en-GB"/>
        </w:rPr>
        <w:t>, Managing Aging Process</w:t>
      </w:r>
      <w:r w:rsidR="009C71A1" w:rsidRPr="00F74977">
        <w:rPr>
          <w:rFonts w:ascii="Times New Roman" w:hAnsi="Times New Roman"/>
          <w:sz w:val="24"/>
          <w:szCs w:val="24"/>
          <w:lang w:val="en-GB"/>
        </w:rPr>
        <w:t>es</w:t>
      </w:r>
      <w:r w:rsidR="002C64AF" w:rsidRPr="00F74977">
        <w:rPr>
          <w:rFonts w:ascii="Times New Roman" w:hAnsi="Times New Roman"/>
          <w:sz w:val="24"/>
          <w:szCs w:val="24"/>
          <w:lang w:val="en-GB"/>
        </w:rPr>
        <w:t xml:space="preserve"> in Storage </w:t>
      </w:r>
      <w:r w:rsidR="009C71A1" w:rsidRPr="00F74977">
        <w:rPr>
          <w:rFonts w:ascii="Times New Roman" w:hAnsi="Times New Roman"/>
          <w:sz w:val="24"/>
          <w:szCs w:val="24"/>
          <w:lang w:val="en-GB"/>
        </w:rPr>
        <w:t xml:space="preserve">(MAPS) </w:t>
      </w:r>
      <w:r w:rsidR="002C64AF" w:rsidRPr="00F74977">
        <w:rPr>
          <w:rFonts w:ascii="Times New Roman" w:hAnsi="Times New Roman"/>
          <w:sz w:val="24"/>
          <w:szCs w:val="24"/>
          <w:lang w:val="en-GB"/>
        </w:rPr>
        <w:t xml:space="preserve">Report, NUREG 2214, </w:t>
      </w:r>
      <w:r w:rsidR="000A6F7A" w:rsidRPr="00F74977">
        <w:rPr>
          <w:rFonts w:ascii="Times New Roman" w:hAnsi="Times New Roman"/>
          <w:sz w:val="24"/>
          <w:szCs w:val="24"/>
          <w:lang w:val="en-GB"/>
        </w:rPr>
        <w:t xml:space="preserve">Washington, DC, </w:t>
      </w:r>
      <w:r w:rsidR="002C64AF" w:rsidRPr="00F74977">
        <w:rPr>
          <w:rFonts w:ascii="Times New Roman" w:hAnsi="Times New Roman"/>
          <w:sz w:val="24"/>
          <w:szCs w:val="24"/>
          <w:lang w:val="en-GB"/>
        </w:rPr>
        <w:t>2019</w:t>
      </w:r>
      <w:bookmarkEnd w:id="0"/>
      <w:r w:rsidR="00910837" w:rsidRPr="00F74977">
        <w:rPr>
          <w:rFonts w:ascii="Times New Roman" w:hAnsi="Times New Roman"/>
          <w:sz w:val="24"/>
          <w:szCs w:val="24"/>
          <w:lang w:val="en-GB"/>
        </w:rPr>
        <w:t>.</w:t>
      </w:r>
    </w:p>
    <w:p w14:paraId="659BB191" w14:textId="2B180033" w:rsidR="002C64AF" w:rsidRPr="00F74977" w:rsidRDefault="00981F64"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1" w:name="_Ref156399913"/>
      <w:r>
        <w:rPr>
          <w:rFonts w:ascii="Times New Roman" w:hAnsi="Times New Roman"/>
          <w:sz w:val="24"/>
          <w:szCs w:val="24"/>
          <w:lang w:val="en-GB"/>
        </w:rPr>
        <w:t xml:space="preserve">ELECTRONUCLEAR, </w:t>
      </w:r>
      <w:r w:rsidR="002C64AF" w:rsidRPr="00F74977">
        <w:rPr>
          <w:rFonts w:ascii="Times New Roman" w:hAnsi="Times New Roman"/>
          <w:sz w:val="24"/>
          <w:szCs w:val="24"/>
          <w:lang w:val="en-GB"/>
        </w:rPr>
        <w:t>Final Safety Analysis Report of the UAS, Brazil, 2021</w:t>
      </w:r>
      <w:bookmarkEnd w:id="1"/>
      <w:r w:rsidR="00910837" w:rsidRPr="00F74977">
        <w:rPr>
          <w:rFonts w:ascii="Times New Roman" w:hAnsi="Times New Roman"/>
          <w:sz w:val="24"/>
          <w:szCs w:val="24"/>
          <w:lang w:val="en-GB"/>
        </w:rPr>
        <w:t>.</w:t>
      </w:r>
    </w:p>
    <w:p w14:paraId="6AC0C1F4" w14:textId="49D31B7D" w:rsidR="006F5A28" w:rsidRPr="00F74977" w:rsidRDefault="006F5A28" w:rsidP="001C40CC">
      <w:pPr>
        <w:pStyle w:val="IGALLReferences"/>
        <w:numPr>
          <w:ilvl w:val="0"/>
          <w:numId w:val="15"/>
        </w:numPr>
        <w:spacing w:before="120" w:after="120" w:line="240" w:lineRule="auto"/>
        <w:ind w:left="714" w:hanging="714"/>
        <w:jc w:val="both"/>
        <w:rPr>
          <w:rFonts w:ascii="Times New Roman" w:hAnsi="Times New Roman"/>
          <w:bCs/>
          <w:sz w:val="24"/>
          <w:szCs w:val="24"/>
          <w:lang w:val="en-GB"/>
        </w:rPr>
      </w:pPr>
      <w:bookmarkStart w:id="2" w:name="_Ref156400034"/>
      <w:r w:rsidRPr="00F74977">
        <w:rPr>
          <w:rFonts w:ascii="Times New Roman" w:hAnsi="Times New Roman"/>
          <w:sz w:val="24"/>
          <w:szCs w:val="24"/>
          <w:lang w:val="en-GB"/>
        </w:rPr>
        <w:t xml:space="preserve">EUROPEAN STANDARD, </w:t>
      </w:r>
      <w:r w:rsidRPr="00F74977">
        <w:rPr>
          <w:rFonts w:ascii="Times New Roman" w:hAnsi="Times New Roman"/>
          <w:bCs/>
          <w:sz w:val="24"/>
          <w:szCs w:val="24"/>
          <w:lang w:val="en-GB"/>
        </w:rPr>
        <w:t xml:space="preserve">Products and </w:t>
      </w:r>
      <w:r w:rsidR="00576BF0">
        <w:rPr>
          <w:rFonts w:ascii="Times New Roman" w:hAnsi="Times New Roman"/>
          <w:bCs/>
          <w:sz w:val="24"/>
          <w:szCs w:val="24"/>
          <w:lang w:val="en-GB"/>
        </w:rPr>
        <w:t>S</w:t>
      </w:r>
      <w:r w:rsidRPr="00F74977">
        <w:rPr>
          <w:rFonts w:ascii="Times New Roman" w:hAnsi="Times New Roman"/>
          <w:bCs/>
          <w:sz w:val="24"/>
          <w:szCs w:val="24"/>
          <w:lang w:val="en-GB"/>
        </w:rPr>
        <w:t xml:space="preserve">ystems for the </w:t>
      </w:r>
      <w:r w:rsidR="00576BF0">
        <w:rPr>
          <w:rFonts w:ascii="Times New Roman" w:hAnsi="Times New Roman"/>
          <w:bCs/>
          <w:sz w:val="24"/>
          <w:szCs w:val="24"/>
          <w:lang w:val="en-GB"/>
        </w:rPr>
        <w:t>P</w:t>
      </w:r>
      <w:r w:rsidRPr="00F74977">
        <w:rPr>
          <w:rFonts w:ascii="Times New Roman" w:hAnsi="Times New Roman"/>
          <w:bCs/>
          <w:sz w:val="24"/>
          <w:szCs w:val="24"/>
          <w:lang w:val="en-GB"/>
        </w:rPr>
        <w:t xml:space="preserve">rotection and </w:t>
      </w:r>
      <w:r w:rsidR="00576BF0">
        <w:rPr>
          <w:rFonts w:ascii="Times New Roman" w:hAnsi="Times New Roman"/>
          <w:bCs/>
          <w:sz w:val="24"/>
          <w:szCs w:val="24"/>
          <w:lang w:val="en-GB"/>
        </w:rPr>
        <w:t>R</w:t>
      </w:r>
      <w:r w:rsidRPr="00F74977">
        <w:rPr>
          <w:rFonts w:ascii="Times New Roman" w:hAnsi="Times New Roman"/>
          <w:bCs/>
          <w:sz w:val="24"/>
          <w:szCs w:val="24"/>
          <w:lang w:val="en-GB"/>
        </w:rPr>
        <w:t xml:space="preserve">epair of </w:t>
      </w:r>
      <w:r w:rsidR="00576BF0">
        <w:rPr>
          <w:rFonts w:ascii="Times New Roman" w:hAnsi="Times New Roman"/>
          <w:bCs/>
          <w:sz w:val="24"/>
          <w:szCs w:val="24"/>
          <w:lang w:val="en-GB"/>
        </w:rPr>
        <w:t>C</w:t>
      </w:r>
      <w:r w:rsidRPr="00F74977">
        <w:rPr>
          <w:rFonts w:ascii="Times New Roman" w:hAnsi="Times New Roman"/>
          <w:bCs/>
          <w:sz w:val="24"/>
          <w:szCs w:val="24"/>
          <w:lang w:val="en-GB"/>
        </w:rPr>
        <w:t xml:space="preserve">oncrete </w:t>
      </w:r>
      <w:r w:rsidR="00576BF0">
        <w:rPr>
          <w:rFonts w:ascii="Times New Roman" w:hAnsi="Times New Roman"/>
          <w:bCs/>
          <w:sz w:val="24"/>
          <w:szCs w:val="24"/>
          <w:lang w:val="en-GB"/>
        </w:rPr>
        <w:t>S</w:t>
      </w:r>
      <w:r w:rsidRPr="00F74977">
        <w:rPr>
          <w:rFonts w:ascii="Times New Roman" w:hAnsi="Times New Roman"/>
          <w:bCs/>
          <w:sz w:val="24"/>
          <w:szCs w:val="24"/>
          <w:lang w:val="en-GB"/>
        </w:rPr>
        <w:t xml:space="preserve">tructures – Definitions, </w:t>
      </w:r>
      <w:r w:rsidR="00576BF0">
        <w:rPr>
          <w:rFonts w:ascii="Times New Roman" w:hAnsi="Times New Roman"/>
          <w:bCs/>
          <w:sz w:val="24"/>
          <w:szCs w:val="24"/>
          <w:lang w:val="en-GB"/>
        </w:rPr>
        <w:t>R</w:t>
      </w:r>
      <w:r w:rsidRPr="00F74977">
        <w:rPr>
          <w:rFonts w:ascii="Times New Roman" w:hAnsi="Times New Roman"/>
          <w:bCs/>
          <w:sz w:val="24"/>
          <w:szCs w:val="24"/>
          <w:lang w:val="en-GB"/>
        </w:rPr>
        <w:t xml:space="preserve">equirements, </w:t>
      </w:r>
      <w:r w:rsidR="00576BF0">
        <w:rPr>
          <w:rFonts w:ascii="Times New Roman" w:hAnsi="Times New Roman"/>
          <w:bCs/>
          <w:sz w:val="24"/>
          <w:szCs w:val="24"/>
          <w:lang w:val="en-GB"/>
        </w:rPr>
        <w:t>Q</w:t>
      </w:r>
      <w:r w:rsidRPr="00F74977">
        <w:rPr>
          <w:rFonts w:ascii="Times New Roman" w:hAnsi="Times New Roman"/>
          <w:bCs/>
          <w:sz w:val="24"/>
          <w:szCs w:val="24"/>
          <w:lang w:val="en-GB"/>
        </w:rPr>
        <w:t xml:space="preserve">uality </w:t>
      </w:r>
      <w:r w:rsidR="00576BF0">
        <w:rPr>
          <w:rFonts w:ascii="Times New Roman" w:hAnsi="Times New Roman"/>
          <w:bCs/>
          <w:sz w:val="24"/>
          <w:szCs w:val="24"/>
          <w:lang w:val="en-GB"/>
        </w:rPr>
        <w:t>C</w:t>
      </w:r>
      <w:r w:rsidRPr="00F74977">
        <w:rPr>
          <w:rFonts w:ascii="Times New Roman" w:hAnsi="Times New Roman"/>
          <w:bCs/>
          <w:sz w:val="24"/>
          <w:szCs w:val="24"/>
          <w:lang w:val="en-GB"/>
        </w:rPr>
        <w:t xml:space="preserve">ontrol and </w:t>
      </w:r>
      <w:r w:rsidR="00576BF0">
        <w:rPr>
          <w:rFonts w:ascii="Times New Roman" w:hAnsi="Times New Roman"/>
          <w:bCs/>
          <w:sz w:val="24"/>
          <w:szCs w:val="24"/>
          <w:lang w:val="en-GB"/>
        </w:rPr>
        <w:t>E</w:t>
      </w:r>
      <w:r w:rsidRPr="00F74977">
        <w:rPr>
          <w:rFonts w:ascii="Times New Roman" w:hAnsi="Times New Roman"/>
          <w:bCs/>
          <w:sz w:val="24"/>
          <w:szCs w:val="24"/>
          <w:lang w:val="en-GB"/>
        </w:rPr>
        <w:t xml:space="preserve">valuation of </w:t>
      </w:r>
      <w:r w:rsidR="00576BF0">
        <w:rPr>
          <w:rFonts w:ascii="Times New Roman" w:hAnsi="Times New Roman"/>
          <w:bCs/>
          <w:sz w:val="24"/>
          <w:szCs w:val="24"/>
          <w:lang w:val="en-GB"/>
        </w:rPr>
        <w:t>C</w:t>
      </w:r>
      <w:r w:rsidRPr="00F74977">
        <w:rPr>
          <w:rFonts w:ascii="Times New Roman" w:hAnsi="Times New Roman"/>
          <w:bCs/>
          <w:sz w:val="24"/>
          <w:szCs w:val="24"/>
          <w:lang w:val="en-GB"/>
        </w:rPr>
        <w:t xml:space="preserve">onformity – Part 2: Surface </w:t>
      </w:r>
      <w:r w:rsidR="00576BF0">
        <w:rPr>
          <w:rFonts w:ascii="Times New Roman" w:hAnsi="Times New Roman"/>
          <w:bCs/>
          <w:sz w:val="24"/>
          <w:szCs w:val="24"/>
          <w:lang w:val="en-GB"/>
        </w:rPr>
        <w:t>P</w:t>
      </w:r>
      <w:r w:rsidRPr="00F74977">
        <w:rPr>
          <w:rFonts w:ascii="Times New Roman" w:hAnsi="Times New Roman"/>
          <w:bCs/>
          <w:sz w:val="24"/>
          <w:szCs w:val="24"/>
          <w:lang w:val="en-GB"/>
        </w:rPr>
        <w:t xml:space="preserve">rotection </w:t>
      </w:r>
      <w:r w:rsidR="00576BF0">
        <w:rPr>
          <w:rFonts w:ascii="Times New Roman" w:hAnsi="Times New Roman"/>
          <w:bCs/>
          <w:sz w:val="24"/>
          <w:szCs w:val="24"/>
          <w:lang w:val="en-GB"/>
        </w:rPr>
        <w:t>S</w:t>
      </w:r>
      <w:r w:rsidRPr="00F74977">
        <w:rPr>
          <w:rFonts w:ascii="Times New Roman" w:hAnsi="Times New Roman"/>
          <w:bCs/>
          <w:sz w:val="24"/>
          <w:szCs w:val="24"/>
          <w:lang w:val="en-GB"/>
        </w:rPr>
        <w:t xml:space="preserve">ystems for </w:t>
      </w:r>
      <w:r w:rsidR="00576BF0">
        <w:rPr>
          <w:rFonts w:ascii="Times New Roman" w:hAnsi="Times New Roman"/>
          <w:bCs/>
          <w:sz w:val="24"/>
          <w:szCs w:val="24"/>
          <w:lang w:val="en-GB"/>
        </w:rPr>
        <w:t>C</w:t>
      </w:r>
      <w:r w:rsidRPr="00F74977">
        <w:rPr>
          <w:rFonts w:ascii="Times New Roman" w:hAnsi="Times New Roman"/>
          <w:bCs/>
          <w:sz w:val="24"/>
          <w:szCs w:val="24"/>
          <w:lang w:val="en-GB"/>
        </w:rPr>
        <w:t>oncrete,</w:t>
      </w:r>
      <w:r w:rsidR="005E3871" w:rsidRPr="005E3871">
        <w:rPr>
          <w:rFonts w:ascii="Times New Roman" w:hAnsi="Times New Roman"/>
          <w:bCs/>
          <w:sz w:val="24"/>
          <w:szCs w:val="24"/>
          <w:lang w:val="en-GB"/>
        </w:rPr>
        <w:t xml:space="preserve"> </w:t>
      </w:r>
      <w:r w:rsidR="005E3871" w:rsidRPr="00F74977">
        <w:rPr>
          <w:rFonts w:ascii="Times New Roman" w:hAnsi="Times New Roman"/>
          <w:bCs/>
          <w:sz w:val="24"/>
          <w:szCs w:val="24"/>
          <w:lang w:val="en-GB"/>
        </w:rPr>
        <w:t xml:space="preserve">EN 1504-2:2004, </w:t>
      </w:r>
      <w:r w:rsidR="00B41113">
        <w:rPr>
          <w:rFonts w:ascii="Times New Roman" w:hAnsi="Times New Roman"/>
          <w:bCs/>
          <w:sz w:val="24"/>
          <w:szCs w:val="24"/>
          <w:lang w:val="en-GB"/>
        </w:rPr>
        <w:t xml:space="preserve">Brussels, </w:t>
      </w:r>
      <w:r w:rsidRPr="00F74977">
        <w:rPr>
          <w:rFonts w:ascii="Times New Roman" w:hAnsi="Times New Roman"/>
          <w:bCs/>
          <w:sz w:val="24"/>
          <w:szCs w:val="24"/>
          <w:lang w:val="en-GB"/>
        </w:rPr>
        <w:t>2004</w:t>
      </w:r>
      <w:bookmarkEnd w:id="2"/>
      <w:r w:rsidR="00910837" w:rsidRPr="00F74977">
        <w:rPr>
          <w:rFonts w:ascii="Times New Roman" w:hAnsi="Times New Roman"/>
          <w:bCs/>
          <w:sz w:val="24"/>
          <w:szCs w:val="24"/>
          <w:lang w:val="en-GB"/>
        </w:rPr>
        <w:t>.</w:t>
      </w:r>
    </w:p>
    <w:p w14:paraId="7FDDA9A5" w14:textId="0D42928D" w:rsidR="006F5A28" w:rsidRPr="00F74977" w:rsidRDefault="006F5A28" w:rsidP="001C40CC">
      <w:pPr>
        <w:pStyle w:val="IGALLReferences"/>
        <w:numPr>
          <w:ilvl w:val="0"/>
          <w:numId w:val="15"/>
        </w:numPr>
        <w:spacing w:before="120" w:after="120" w:line="240" w:lineRule="auto"/>
        <w:ind w:left="714" w:hanging="714"/>
        <w:jc w:val="both"/>
        <w:rPr>
          <w:rFonts w:ascii="Times New Roman" w:hAnsi="Times New Roman"/>
          <w:bCs/>
          <w:sz w:val="24"/>
          <w:szCs w:val="24"/>
          <w:lang w:val="en-GB"/>
        </w:rPr>
      </w:pPr>
      <w:bookmarkStart w:id="3" w:name="_Ref156400048"/>
      <w:r w:rsidRPr="00F74977">
        <w:rPr>
          <w:rFonts w:ascii="Times New Roman" w:hAnsi="Times New Roman"/>
          <w:sz w:val="24"/>
          <w:szCs w:val="24"/>
          <w:lang w:val="en-GB"/>
        </w:rPr>
        <w:t xml:space="preserve">EUROPEAN STANDARD, </w:t>
      </w:r>
      <w:r w:rsidRPr="00F74977">
        <w:rPr>
          <w:rFonts w:ascii="Times New Roman" w:hAnsi="Times New Roman"/>
          <w:bCs/>
          <w:sz w:val="24"/>
          <w:szCs w:val="24"/>
          <w:lang w:val="en-GB"/>
        </w:rPr>
        <w:t xml:space="preserve">Products and </w:t>
      </w:r>
      <w:r w:rsidR="002059ED">
        <w:rPr>
          <w:rFonts w:ascii="Times New Roman" w:hAnsi="Times New Roman"/>
          <w:bCs/>
          <w:sz w:val="24"/>
          <w:szCs w:val="24"/>
          <w:lang w:val="en-GB"/>
        </w:rPr>
        <w:t>S</w:t>
      </w:r>
      <w:r w:rsidRPr="00F74977">
        <w:rPr>
          <w:rFonts w:ascii="Times New Roman" w:hAnsi="Times New Roman"/>
          <w:bCs/>
          <w:sz w:val="24"/>
          <w:szCs w:val="24"/>
          <w:lang w:val="en-GB"/>
        </w:rPr>
        <w:t xml:space="preserve">ystems for the </w:t>
      </w:r>
      <w:r w:rsidR="002059ED">
        <w:rPr>
          <w:rFonts w:ascii="Times New Roman" w:hAnsi="Times New Roman"/>
          <w:bCs/>
          <w:sz w:val="24"/>
          <w:szCs w:val="24"/>
          <w:lang w:val="en-GB"/>
        </w:rPr>
        <w:t>P</w:t>
      </w:r>
      <w:r w:rsidRPr="00F74977">
        <w:rPr>
          <w:rFonts w:ascii="Times New Roman" w:hAnsi="Times New Roman"/>
          <w:bCs/>
          <w:sz w:val="24"/>
          <w:szCs w:val="24"/>
          <w:lang w:val="en-GB"/>
        </w:rPr>
        <w:t xml:space="preserve">rotection and </w:t>
      </w:r>
      <w:r w:rsidR="002059ED">
        <w:rPr>
          <w:rFonts w:ascii="Times New Roman" w:hAnsi="Times New Roman"/>
          <w:bCs/>
          <w:sz w:val="24"/>
          <w:szCs w:val="24"/>
          <w:lang w:val="en-GB"/>
        </w:rPr>
        <w:t>R</w:t>
      </w:r>
      <w:r w:rsidRPr="00F74977">
        <w:rPr>
          <w:rFonts w:ascii="Times New Roman" w:hAnsi="Times New Roman"/>
          <w:bCs/>
          <w:sz w:val="24"/>
          <w:szCs w:val="24"/>
          <w:lang w:val="en-GB"/>
        </w:rPr>
        <w:t xml:space="preserve">epair of </w:t>
      </w:r>
      <w:r w:rsidR="002059ED">
        <w:rPr>
          <w:rFonts w:ascii="Times New Roman" w:hAnsi="Times New Roman"/>
          <w:bCs/>
          <w:sz w:val="24"/>
          <w:szCs w:val="24"/>
          <w:lang w:val="en-GB"/>
        </w:rPr>
        <w:t>C</w:t>
      </w:r>
      <w:r w:rsidRPr="00F74977">
        <w:rPr>
          <w:rFonts w:ascii="Times New Roman" w:hAnsi="Times New Roman"/>
          <w:bCs/>
          <w:sz w:val="24"/>
          <w:szCs w:val="24"/>
          <w:lang w:val="en-GB"/>
        </w:rPr>
        <w:t xml:space="preserve">oncrete </w:t>
      </w:r>
      <w:r w:rsidR="002059ED">
        <w:rPr>
          <w:rFonts w:ascii="Times New Roman" w:hAnsi="Times New Roman"/>
          <w:bCs/>
          <w:sz w:val="24"/>
          <w:szCs w:val="24"/>
          <w:lang w:val="en-GB"/>
        </w:rPr>
        <w:t>S</w:t>
      </w:r>
      <w:r w:rsidRPr="00F74977">
        <w:rPr>
          <w:rFonts w:ascii="Times New Roman" w:hAnsi="Times New Roman"/>
          <w:bCs/>
          <w:sz w:val="24"/>
          <w:szCs w:val="24"/>
          <w:lang w:val="en-GB"/>
        </w:rPr>
        <w:t xml:space="preserve">tructures – Definitions, </w:t>
      </w:r>
      <w:r w:rsidR="002059ED">
        <w:rPr>
          <w:rFonts w:ascii="Times New Roman" w:hAnsi="Times New Roman"/>
          <w:bCs/>
          <w:sz w:val="24"/>
          <w:szCs w:val="24"/>
          <w:lang w:val="en-GB"/>
        </w:rPr>
        <w:t>R</w:t>
      </w:r>
      <w:r w:rsidRPr="00F74977">
        <w:rPr>
          <w:rFonts w:ascii="Times New Roman" w:hAnsi="Times New Roman"/>
          <w:bCs/>
          <w:sz w:val="24"/>
          <w:szCs w:val="24"/>
          <w:lang w:val="en-GB"/>
        </w:rPr>
        <w:t xml:space="preserve">equirements, </w:t>
      </w:r>
      <w:r w:rsidR="002059ED">
        <w:rPr>
          <w:rFonts w:ascii="Times New Roman" w:hAnsi="Times New Roman"/>
          <w:bCs/>
          <w:sz w:val="24"/>
          <w:szCs w:val="24"/>
          <w:lang w:val="en-GB"/>
        </w:rPr>
        <w:t>Q</w:t>
      </w:r>
      <w:r w:rsidRPr="00F74977">
        <w:rPr>
          <w:rFonts w:ascii="Times New Roman" w:hAnsi="Times New Roman"/>
          <w:bCs/>
          <w:sz w:val="24"/>
          <w:szCs w:val="24"/>
          <w:lang w:val="en-GB"/>
        </w:rPr>
        <w:t xml:space="preserve">uality </w:t>
      </w:r>
      <w:r w:rsidR="002059ED">
        <w:rPr>
          <w:rFonts w:ascii="Times New Roman" w:hAnsi="Times New Roman"/>
          <w:bCs/>
          <w:sz w:val="24"/>
          <w:szCs w:val="24"/>
          <w:lang w:val="en-GB"/>
        </w:rPr>
        <w:t>C</w:t>
      </w:r>
      <w:r w:rsidRPr="00F74977">
        <w:rPr>
          <w:rFonts w:ascii="Times New Roman" w:hAnsi="Times New Roman"/>
          <w:bCs/>
          <w:sz w:val="24"/>
          <w:szCs w:val="24"/>
          <w:lang w:val="en-GB"/>
        </w:rPr>
        <w:t xml:space="preserve">ontrol and </w:t>
      </w:r>
      <w:r w:rsidR="002059ED">
        <w:rPr>
          <w:rFonts w:ascii="Times New Roman" w:hAnsi="Times New Roman"/>
          <w:bCs/>
          <w:sz w:val="24"/>
          <w:szCs w:val="24"/>
          <w:lang w:val="en-GB"/>
        </w:rPr>
        <w:t>E</w:t>
      </w:r>
      <w:r w:rsidRPr="00F74977">
        <w:rPr>
          <w:rFonts w:ascii="Times New Roman" w:hAnsi="Times New Roman"/>
          <w:bCs/>
          <w:sz w:val="24"/>
          <w:szCs w:val="24"/>
          <w:lang w:val="en-GB"/>
        </w:rPr>
        <w:t xml:space="preserve">valuation of </w:t>
      </w:r>
      <w:r w:rsidR="002059ED">
        <w:rPr>
          <w:rFonts w:ascii="Times New Roman" w:hAnsi="Times New Roman"/>
          <w:bCs/>
          <w:sz w:val="24"/>
          <w:szCs w:val="24"/>
          <w:lang w:val="en-GB"/>
        </w:rPr>
        <w:t>C</w:t>
      </w:r>
      <w:r w:rsidRPr="00F74977">
        <w:rPr>
          <w:rFonts w:ascii="Times New Roman" w:hAnsi="Times New Roman"/>
          <w:bCs/>
          <w:sz w:val="24"/>
          <w:szCs w:val="24"/>
          <w:lang w:val="en-GB"/>
        </w:rPr>
        <w:t xml:space="preserve">onformity – Part 7: Reinforcement </w:t>
      </w:r>
      <w:r w:rsidR="002059ED">
        <w:rPr>
          <w:rFonts w:ascii="Times New Roman" w:hAnsi="Times New Roman"/>
          <w:bCs/>
          <w:sz w:val="24"/>
          <w:szCs w:val="24"/>
          <w:lang w:val="en-GB"/>
        </w:rPr>
        <w:t>C</w:t>
      </w:r>
      <w:r w:rsidRPr="00F74977">
        <w:rPr>
          <w:rFonts w:ascii="Times New Roman" w:hAnsi="Times New Roman"/>
          <w:bCs/>
          <w:sz w:val="24"/>
          <w:szCs w:val="24"/>
          <w:lang w:val="en-GB"/>
        </w:rPr>
        <w:t xml:space="preserve">orrosion </w:t>
      </w:r>
      <w:r w:rsidR="002059ED">
        <w:rPr>
          <w:rFonts w:ascii="Times New Roman" w:hAnsi="Times New Roman"/>
          <w:bCs/>
          <w:sz w:val="24"/>
          <w:szCs w:val="24"/>
          <w:lang w:val="en-GB"/>
        </w:rPr>
        <w:t>P</w:t>
      </w:r>
      <w:r w:rsidRPr="00F74977">
        <w:rPr>
          <w:rFonts w:ascii="Times New Roman" w:hAnsi="Times New Roman"/>
          <w:bCs/>
          <w:sz w:val="24"/>
          <w:szCs w:val="24"/>
          <w:lang w:val="en-GB"/>
        </w:rPr>
        <w:t xml:space="preserve">rotection, </w:t>
      </w:r>
      <w:r w:rsidR="002059ED" w:rsidRPr="00F74977">
        <w:rPr>
          <w:rFonts w:ascii="Times New Roman" w:hAnsi="Times New Roman"/>
          <w:bCs/>
          <w:sz w:val="24"/>
          <w:szCs w:val="24"/>
          <w:lang w:val="en-GB"/>
        </w:rPr>
        <w:t xml:space="preserve">EN 1504-7:2006, </w:t>
      </w:r>
      <w:r w:rsidR="002059ED">
        <w:rPr>
          <w:rFonts w:ascii="Times New Roman" w:hAnsi="Times New Roman"/>
          <w:bCs/>
          <w:sz w:val="24"/>
          <w:szCs w:val="24"/>
          <w:lang w:val="en-GB"/>
        </w:rPr>
        <w:t xml:space="preserve">Brussels, </w:t>
      </w:r>
      <w:r w:rsidRPr="00F74977">
        <w:rPr>
          <w:rFonts w:ascii="Times New Roman" w:hAnsi="Times New Roman"/>
          <w:bCs/>
          <w:sz w:val="24"/>
          <w:szCs w:val="24"/>
          <w:lang w:val="en-GB"/>
        </w:rPr>
        <w:t>2006</w:t>
      </w:r>
      <w:bookmarkEnd w:id="3"/>
      <w:r w:rsidR="00910837" w:rsidRPr="00F74977">
        <w:rPr>
          <w:rFonts w:ascii="Times New Roman" w:hAnsi="Times New Roman"/>
          <w:bCs/>
          <w:sz w:val="24"/>
          <w:szCs w:val="24"/>
          <w:lang w:val="en-GB"/>
        </w:rPr>
        <w:t>.</w:t>
      </w:r>
    </w:p>
    <w:p w14:paraId="75C21061" w14:textId="6169008F" w:rsidR="0041076F" w:rsidRPr="00F74977" w:rsidRDefault="0041076F"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4" w:name="_Ref156400131"/>
      <w:r w:rsidRPr="00F74977">
        <w:rPr>
          <w:rFonts w:ascii="Times New Roman" w:hAnsi="Times New Roman"/>
          <w:sz w:val="24"/>
          <w:szCs w:val="24"/>
          <w:lang w:val="en-GB"/>
        </w:rPr>
        <w:t>A</w:t>
      </w:r>
      <w:r w:rsidR="002059ED">
        <w:rPr>
          <w:rFonts w:ascii="Times New Roman" w:hAnsi="Times New Roman"/>
          <w:sz w:val="24"/>
          <w:szCs w:val="24"/>
          <w:lang w:val="en-GB"/>
        </w:rPr>
        <w:t xml:space="preserve">MERICAN </w:t>
      </w:r>
      <w:r w:rsidRPr="00F74977">
        <w:rPr>
          <w:rFonts w:ascii="Times New Roman" w:hAnsi="Times New Roman"/>
          <w:sz w:val="24"/>
          <w:szCs w:val="24"/>
          <w:lang w:val="en-GB"/>
        </w:rPr>
        <w:t>C</w:t>
      </w:r>
      <w:r w:rsidR="002059ED">
        <w:rPr>
          <w:rFonts w:ascii="Times New Roman" w:hAnsi="Times New Roman"/>
          <w:sz w:val="24"/>
          <w:szCs w:val="24"/>
          <w:lang w:val="en-GB"/>
        </w:rPr>
        <w:t xml:space="preserve">ONCRETE </w:t>
      </w:r>
      <w:r w:rsidRPr="00F74977">
        <w:rPr>
          <w:rFonts w:ascii="Times New Roman" w:hAnsi="Times New Roman"/>
          <w:sz w:val="24"/>
          <w:szCs w:val="24"/>
          <w:lang w:val="en-GB"/>
        </w:rPr>
        <w:t>I</w:t>
      </w:r>
      <w:r w:rsidR="001701E7">
        <w:rPr>
          <w:rFonts w:ascii="Times New Roman" w:hAnsi="Times New Roman"/>
          <w:sz w:val="24"/>
          <w:szCs w:val="24"/>
          <w:lang w:val="en-GB"/>
        </w:rPr>
        <w:t>NSTITUTE,</w:t>
      </w:r>
      <w:r w:rsidRPr="00F74977">
        <w:rPr>
          <w:rFonts w:ascii="Times New Roman" w:hAnsi="Times New Roman"/>
          <w:sz w:val="24"/>
          <w:szCs w:val="24"/>
          <w:lang w:val="en-GB"/>
        </w:rPr>
        <w:t xml:space="preserve"> Guide for Conducting a Visual Inspection of Concrete in Service</w:t>
      </w:r>
      <w:r w:rsidR="001701E7">
        <w:rPr>
          <w:rFonts w:ascii="Times New Roman" w:hAnsi="Times New Roman"/>
          <w:sz w:val="24"/>
          <w:szCs w:val="24"/>
          <w:lang w:val="en-GB"/>
        </w:rPr>
        <w:t>,</w:t>
      </w:r>
      <w:r w:rsidRPr="00F74977">
        <w:rPr>
          <w:rFonts w:ascii="Times New Roman" w:hAnsi="Times New Roman"/>
          <w:sz w:val="24"/>
          <w:szCs w:val="24"/>
          <w:lang w:val="en-GB"/>
        </w:rPr>
        <w:t xml:space="preserve"> </w:t>
      </w:r>
      <w:r w:rsidR="001701E7" w:rsidRPr="00F74977">
        <w:rPr>
          <w:rFonts w:ascii="Times New Roman" w:hAnsi="Times New Roman"/>
          <w:sz w:val="24"/>
          <w:szCs w:val="24"/>
          <w:lang w:val="en-GB"/>
        </w:rPr>
        <w:t xml:space="preserve">ACI Standard 201.1R-08, </w:t>
      </w:r>
      <w:r w:rsidRPr="00F74977">
        <w:rPr>
          <w:rFonts w:ascii="Times New Roman" w:hAnsi="Times New Roman"/>
          <w:sz w:val="24"/>
          <w:szCs w:val="24"/>
          <w:lang w:val="en-GB"/>
        </w:rPr>
        <w:t>Farmington Hills, M</w:t>
      </w:r>
      <w:r w:rsidR="00566937">
        <w:rPr>
          <w:rFonts w:ascii="Times New Roman" w:hAnsi="Times New Roman"/>
          <w:sz w:val="24"/>
          <w:szCs w:val="24"/>
          <w:lang w:val="en-GB"/>
        </w:rPr>
        <w:t>I,</w:t>
      </w:r>
      <w:r w:rsidR="00364B89">
        <w:rPr>
          <w:rFonts w:ascii="Times New Roman" w:hAnsi="Times New Roman"/>
          <w:sz w:val="24"/>
          <w:szCs w:val="24"/>
          <w:lang w:val="en-GB"/>
        </w:rPr>
        <w:t xml:space="preserve"> 2</w:t>
      </w:r>
      <w:r w:rsidRPr="00F74977">
        <w:rPr>
          <w:rFonts w:ascii="Times New Roman" w:hAnsi="Times New Roman"/>
          <w:sz w:val="24"/>
          <w:szCs w:val="24"/>
          <w:lang w:val="en-GB"/>
        </w:rPr>
        <w:t>008</w:t>
      </w:r>
      <w:bookmarkEnd w:id="4"/>
      <w:r w:rsidR="00910837" w:rsidRPr="00F74977">
        <w:rPr>
          <w:rFonts w:ascii="Times New Roman" w:hAnsi="Times New Roman"/>
          <w:sz w:val="24"/>
          <w:szCs w:val="24"/>
          <w:lang w:val="en-GB"/>
        </w:rPr>
        <w:t>.</w:t>
      </w:r>
    </w:p>
    <w:p w14:paraId="30FB59BE" w14:textId="3303E1E1" w:rsidR="000C4B51" w:rsidRPr="00DD54C7" w:rsidRDefault="008223D1"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5" w:name="_Ref156400153"/>
      <w:r>
        <w:rPr>
          <w:rFonts w:ascii="Times New Roman" w:hAnsi="Times New Roman"/>
          <w:sz w:val="24"/>
          <w:szCs w:val="24"/>
          <w:lang w:val="en-GB"/>
        </w:rPr>
        <w:t xml:space="preserve">MILMAN, </w:t>
      </w:r>
      <w:r w:rsidR="002D4E7C">
        <w:rPr>
          <w:rFonts w:ascii="Times New Roman" w:hAnsi="Times New Roman"/>
          <w:sz w:val="24"/>
          <w:szCs w:val="24"/>
          <w:lang w:val="en-GB"/>
        </w:rPr>
        <w:t>J.</w:t>
      </w:r>
      <w:r w:rsidR="000C4B51" w:rsidRPr="00F74977">
        <w:rPr>
          <w:rFonts w:ascii="Times New Roman" w:hAnsi="Times New Roman"/>
          <w:sz w:val="24"/>
          <w:szCs w:val="24"/>
          <w:lang w:val="en-GB"/>
        </w:rPr>
        <w:t xml:space="preserve">, </w:t>
      </w:r>
      <w:r w:rsidR="002D4E7C">
        <w:rPr>
          <w:rFonts w:ascii="Times New Roman" w:hAnsi="Times New Roman"/>
          <w:sz w:val="24"/>
          <w:szCs w:val="24"/>
          <w:lang w:val="en-GB"/>
        </w:rPr>
        <w:t xml:space="preserve">AZIZ, </w:t>
      </w:r>
      <w:r w:rsidR="000C4B51" w:rsidRPr="00F74977">
        <w:rPr>
          <w:rFonts w:ascii="Times New Roman" w:hAnsi="Times New Roman"/>
          <w:sz w:val="24"/>
          <w:szCs w:val="24"/>
          <w:lang w:val="en-GB"/>
        </w:rPr>
        <w:t>T.</w:t>
      </w:r>
      <w:r w:rsidR="002D4E7C">
        <w:rPr>
          <w:rFonts w:ascii="Times New Roman" w:hAnsi="Times New Roman"/>
          <w:sz w:val="24"/>
          <w:szCs w:val="24"/>
          <w:lang w:val="en-GB"/>
        </w:rPr>
        <w:t>,</w:t>
      </w:r>
      <w:r w:rsidR="000C4B51" w:rsidRPr="00F74977">
        <w:rPr>
          <w:rFonts w:ascii="Times New Roman" w:hAnsi="Times New Roman"/>
          <w:sz w:val="24"/>
          <w:szCs w:val="24"/>
          <w:lang w:val="en-GB"/>
        </w:rPr>
        <w:t xml:space="preserve"> </w:t>
      </w:r>
      <w:r w:rsidR="00FA656C">
        <w:rPr>
          <w:rFonts w:ascii="Times New Roman" w:hAnsi="Times New Roman"/>
          <w:sz w:val="24"/>
          <w:szCs w:val="24"/>
          <w:lang w:val="en-GB"/>
        </w:rPr>
        <w:t xml:space="preserve">BISWAS, </w:t>
      </w:r>
      <w:r w:rsidR="000C4B51" w:rsidRPr="00F74977">
        <w:rPr>
          <w:rFonts w:ascii="Times New Roman" w:hAnsi="Times New Roman"/>
          <w:sz w:val="24"/>
          <w:szCs w:val="24"/>
          <w:lang w:val="en-GB"/>
        </w:rPr>
        <w:t>J.</w:t>
      </w:r>
      <w:r w:rsidR="00FA656C">
        <w:rPr>
          <w:rFonts w:ascii="Times New Roman" w:hAnsi="Times New Roman"/>
          <w:sz w:val="24"/>
          <w:szCs w:val="24"/>
          <w:lang w:val="en-GB"/>
        </w:rPr>
        <w:t xml:space="preserve"> </w:t>
      </w:r>
      <w:r w:rsidR="000C4B51" w:rsidRPr="00F74977">
        <w:rPr>
          <w:rFonts w:ascii="Times New Roman" w:hAnsi="Times New Roman"/>
          <w:sz w:val="24"/>
          <w:szCs w:val="24"/>
          <w:lang w:val="en-GB"/>
        </w:rPr>
        <w:t>K.</w:t>
      </w:r>
      <w:r w:rsidR="00FA656C">
        <w:rPr>
          <w:rFonts w:ascii="Times New Roman" w:hAnsi="Times New Roman"/>
          <w:sz w:val="24"/>
          <w:szCs w:val="24"/>
          <w:lang w:val="en-GB"/>
        </w:rPr>
        <w:t>,</w:t>
      </w:r>
      <w:r w:rsidR="000C4B51" w:rsidRPr="00F74977">
        <w:rPr>
          <w:rFonts w:ascii="Times New Roman" w:hAnsi="Times New Roman"/>
          <w:sz w:val="24"/>
          <w:szCs w:val="24"/>
          <w:lang w:val="en-GB"/>
        </w:rPr>
        <w:t xml:space="preserve"> </w:t>
      </w:r>
      <w:r w:rsidR="00FA656C">
        <w:rPr>
          <w:rFonts w:ascii="Times New Roman" w:hAnsi="Times New Roman"/>
          <w:sz w:val="24"/>
          <w:szCs w:val="24"/>
          <w:lang w:val="en-GB"/>
        </w:rPr>
        <w:t>JANZEN</w:t>
      </w:r>
      <w:r w:rsidR="00833588">
        <w:rPr>
          <w:rFonts w:ascii="Times New Roman" w:hAnsi="Times New Roman"/>
          <w:sz w:val="24"/>
          <w:szCs w:val="24"/>
          <w:lang w:val="en-GB"/>
        </w:rPr>
        <w:t>,</w:t>
      </w:r>
      <w:r w:rsidR="000C4B51" w:rsidRPr="00F74977">
        <w:rPr>
          <w:rFonts w:ascii="Times New Roman" w:hAnsi="Times New Roman"/>
          <w:sz w:val="24"/>
          <w:szCs w:val="24"/>
          <w:lang w:val="en-GB"/>
        </w:rPr>
        <w:t xml:space="preserve"> R. G.</w:t>
      </w:r>
      <w:r w:rsidR="00833588">
        <w:rPr>
          <w:rFonts w:ascii="Times New Roman" w:hAnsi="Times New Roman"/>
          <w:sz w:val="24"/>
          <w:szCs w:val="24"/>
          <w:lang w:val="en-GB"/>
        </w:rPr>
        <w:t>,</w:t>
      </w:r>
      <w:r w:rsidR="000C4B51" w:rsidRPr="00F74977">
        <w:rPr>
          <w:rFonts w:ascii="Times New Roman" w:hAnsi="Times New Roman"/>
          <w:sz w:val="24"/>
          <w:szCs w:val="24"/>
          <w:lang w:val="en-GB"/>
        </w:rPr>
        <w:t xml:space="preserve"> Integrity Evaluation of Concrete Radioactive Waste Storage Structures, </w:t>
      </w:r>
      <w:r w:rsidR="00833588">
        <w:rPr>
          <w:rFonts w:ascii="Times New Roman" w:hAnsi="Times New Roman"/>
          <w:sz w:val="24"/>
          <w:szCs w:val="24"/>
          <w:lang w:val="en-GB"/>
        </w:rPr>
        <w:t xml:space="preserve">NEA - </w:t>
      </w:r>
      <w:r w:rsidR="000C4B51" w:rsidRPr="00F74977">
        <w:rPr>
          <w:rFonts w:ascii="Times New Roman" w:hAnsi="Times New Roman"/>
          <w:sz w:val="24"/>
          <w:szCs w:val="24"/>
          <w:lang w:val="en-GB"/>
        </w:rPr>
        <w:t xml:space="preserve">Working </w:t>
      </w:r>
      <w:r w:rsidR="00833588">
        <w:rPr>
          <w:rFonts w:ascii="Times New Roman" w:hAnsi="Times New Roman"/>
          <w:sz w:val="24"/>
          <w:szCs w:val="24"/>
          <w:lang w:val="en-GB"/>
        </w:rPr>
        <w:t>G</w:t>
      </w:r>
      <w:r w:rsidR="000C4B51" w:rsidRPr="00F74977">
        <w:rPr>
          <w:rFonts w:ascii="Times New Roman" w:hAnsi="Times New Roman"/>
          <w:sz w:val="24"/>
          <w:szCs w:val="24"/>
          <w:lang w:val="en-GB"/>
        </w:rPr>
        <w:t xml:space="preserve">roup on </w:t>
      </w:r>
      <w:r w:rsidR="00833588">
        <w:rPr>
          <w:rFonts w:ascii="Times New Roman" w:hAnsi="Times New Roman"/>
          <w:sz w:val="24"/>
          <w:szCs w:val="24"/>
          <w:lang w:val="en-GB"/>
        </w:rPr>
        <w:t>I</w:t>
      </w:r>
      <w:r w:rsidR="000C4B51" w:rsidRPr="00F74977">
        <w:rPr>
          <w:rFonts w:ascii="Times New Roman" w:hAnsi="Times New Roman"/>
          <w:sz w:val="24"/>
          <w:szCs w:val="24"/>
          <w:lang w:val="en-GB"/>
        </w:rPr>
        <w:t>ntegrity and Ageing of Components and Structures, 2008</w:t>
      </w:r>
      <w:bookmarkEnd w:id="5"/>
      <w:r w:rsidR="00910837" w:rsidRPr="00F74977">
        <w:rPr>
          <w:rFonts w:ascii="Times New Roman" w:hAnsi="Times New Roman"/>
          <w:sz w:val="24"/>
          <w:szCs w:val="24"/>
          <w:lang w:val="en-GB"/>
        </w:rPr>
        <w:t>.</w:t>
      </w:r>
    </w:p>
    <w:p w14:paraId="05A1BB09" w14:textId="7A2CD0DE" w:rsidR="007B349E" w:rsidRPr="00DD54C7" w:rsidRDefault="007B349E"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6" w:name="_Ref156400189"/>
      <w:r w:rsidRPr="00DD54C7">
        <w:rPr>
          <w:rFonts w:ascii="Times New Roman" w:hAnsi="Times New Roman"/>
          <w:sz w:val="24"/>
          <w:szCs w:val="24"/>
          <w:lang w:val="en-GB"/>
        </w:rPr>
        <w:t xml:space="preserve">AMERICAN CONCRETE INSTITUTE, </w:t>
      </w:r>
      <w:bookmarkEnd w:id="6"/>
      <w:r w:rsidR="00DD54C7" w:rsidRPr="00DD54C7">
        <w:rPr>
          <w:rFonts w:ascii="Times New Roman" w:hAnsi="Times New Roman"/>
          <w:sz w:val="24"/>
          <w:szCs w:val="24"/>
          <w:lang w:val="en-GB"/>
        </w:rPr>
        <w:t>Report on Evaluation and Repair of Existing Nuclear Safety-Related Concrete Structures, ACI 349.3R-18, Farmington Hills, MI, 2018.</w:t>
      </w:r>
    </w:p>
    <w:p w14:paraId="2890ED83" w14:textId="51072FE2" w:rsidR="007B349E" w:rsidRPr="00F74977" w:rsidRDefault="007B349E" w:rsidP="001C40CC">
      <w:pPr>
        <w:pStyle w:val="IGALLReferences"/>
        <w:numPr>
          <w:ilvl w:val="0"/>
          <w:numId w:val="15"/>
        </w:numPr>
        <w:spacing w:before="120" w:after="120" w:line="240" w:lineRule="auto"/>
        <w:ind w:left="714" w:hanging="714"/>
        <w:jc w:val="both"/>
        <w:rPr>
          <w:rFonts w:ascii="Times New Roman" w:hAnsi="Times New Roman"/>
          <w:bCs/>
          <w:sz w:val="24"/>
          <w:szCs w:val="24"/>
          <w:lang w:val="en-GB"/>
        </w:rPr>
      </w:pPr>
      <w:bookmarkStart w:id="7" w:name="_Ref156400202"/>
      <w:r w:rsidRPr="00DD54C7">
        <w:rPr>
          <w:rFonts w:ascii="Times New Roman" w:hAnsi="Times New Roman"/>
          <w:bCs/>
          <w:sz w:val="24"/>
          <w:szCs w:val="24"/>
          <w:lang w:val="en-GB"/>
        </w:rPr>
        <w:lastRenderedPageBreak/>
        <w:t xml:space="preserve">EUROPEAN STANDARD, </w:t>
      </w:r>
      <w:r w:rsidRPr="00F74977">
        <w:rPr>
          <w:rFonts w:ascii="Times New Roman" w:hAnsi="Times New Roman"/>
          <w:bCs/>
          <w:sz w:val="24"/>
          <w:szCs w:val="24"/>
          <w:lang w:val="en-GB"/>
        </w:rPr>
        <w:t xml:space="preserve">Products and </w:t>
      </w:r>
      <w:r w:rsidR="009B1BA3">
        <w:rPr>
          <w:rFonts w:ascii="Times New Roman" w:hAnsi="Times New Roman"/>
          <w:bCs/>
          <w:sz w:val="24"/>
          <w:szCs w:val="24"/>
          <w:lang w:val="en-GB"/>
        </w:rPr>
        <w:t>S</w:t>
      </w:r>
      <w:r w:rsidRPr="00F74977">
        <w:rPr>
          <w:rFonts w:ascii="Times New Roman" w:hAnsi="Times New Roman"/>
          <w:bCs/>
          <w:sz w:val="24"/>
          <w:szCs w:val="24"/>
          <w:lang w:val="en-GB"/>
        </w:rPr>
        <w:t xml:space="preserve">ystems for the </w:t>
      </w:r>
      <w:r w:rsidR="009B1BA3">
        <w:rPr>
          <w:rFonts w:ascii="Times New Roman" w:hAnsi="Times New Roman"/>
          <w:bCs/>
          <w:sz w:val="24"/>
          <w:szCs w:val="24"/>
          <w:lang w:val="en-GB"/>
        </w:rPr>
        <w:t>P</w:t>
      </w:r>
      <w:r w:rsidRPr="00F74977">
        <w:rPr>
          <w:rFonts w:ascii="Times New Roman" w:hAnsi="Times New Roman"/>
          <w:bCs/>
          <w:sz w:val="24"/>
          <w:szCs w:val="24"/>
          <w:lang w:val="en-GB"/>
        </w:rPr>
        <w:t xml:space="preserve">rotection and </w:t>
      </w:r>
      <w:r w:rsidR="009B1BA3">
        <w:rPr>
          <w:rFonts w:ascii="Times New Roman" w:hAnsi="Times New Roman"/>
          <w:bCs/>
          <w:sz w:val="24"/>
          <w:szCs w:val="24"/>
          <w:lang w:val="en-GB"/>
        </w:rPr>
        <w:t>R</w:t>
      </w:r>
      <w:r w:rsidRPr="00F74977">
        <w:rPr>
          <w:rFonts w:ascii="Times New Roman" w:hAnsi="Times New Roman"/>
          <w:bCs/>
          <w:sz w:val="24"/>
          <w:szCs w:val="24"/>
          <w:lang w:val="en-GB"/>
        </w:rPr>
        <w:t xml:space="preserve">epair of </w:t>
      </w:r>
      <w:r w:rsidR="009B1BA3">
        <w:rPr>
          <w:rFonts w:ascii="Times New Roman" w:hAnsi="Times New Roman"/>
          <w:bCs/>
          <w:sz w:val="24"/>
          <w:szCs w:val="24"/>
          <w:lang w:val="en-GB"/>
        </w:rPr>
        <w:t>C</w:t>
      </w:r>
      <w:r w:rsidRPr="00F74977">
        <w:rPr>
          <w:rFonts w:ascii="Times New Roman" w:hAnsi="Times New Roman"/>
          <w:bCs/>
          <w:sz w:val="24"/>
          <w:szCs w:val="24"/>
          <w:lang w:val="en-GB"/>
        </w:rPr>
        <w:t xml:space="preserve">oncrete </w:t>
      </w:r>
      <w:r w:rsidR="009B1BA3">
        <w:rPr>
          <w:rFonts w:ascii="Times New Roman" w:hAnsi="Times New Roman"/>
          <w:bCs/>
          <w:sz w:val="24"/>
          <w:szCs w:val="24"/>
          <w:lang w:val="en-GB"/>
        </w:rPr>
        <w:t>S</w:t>
      </w:r>
      <w:r w:rsidRPr="00F74977">
        <w:rPr>
          <w:rFonts w:ascii="Times New Roman" w:hAnsi="Times New Roman"/>
          <w:bCs/>
          <w:sz w:val="24"/>
          <w:szCs w:val="24"/>
          <w:lang w:val="en-GB"/>
        </w:rPr>
        <w:t xml:space="preserve">tructures – Definitions, </w:t>
      </w:r>
      <w:r w:rsidR="009B1BA3">
        <w:rPr>
          <w:rFonts w:ascii="Times New Roman" w:hAnsi="Times New Roman"/>
          <w:bCs/>
          <w:sz w:val="24"/>
          <w:szCs w:val="24"/>
          <w:lang w:val="en-GB"/>
        </w:rPr>
        <w:t>R</w:t>
      </w:r>
      <w:r w:rsidRPr="00F74977">
        <w:rPr>
          <w:rFonts w:ascii="Times New Roman" w:hAnsi="Times New Roman"/>
          <w:bCs/>
          <w:sz w:val="24"/>
          <w:szCs w:val="24"/>
          <w:lang w:val="en-GB"/>
        </w:rPr>
        <w:t xml:space="preserve">equirements, </w:t>
      </w:r>
      <w:r w:rsidR="009B1BA3">
        <w:rPr>
          <w:rFonts w:ascii="Times New Roman" w:hAnsi="Times New Roman"/>
          <w:bCs/>
          <w:sz w:val="24"/>
          <w:szCs w:val="24"/>
          <w:lang w:val="en-GB"/>
        </w:rPr>
        <w:t>Q</w:t>
      </w:r>
      <w:r w:rsidRPr="00F74977">
        <w:rPr>
          <w:rFonts w:ascii="Times New Roman" w:hAnsi="Times New Roman"/>
          <w:bCs/>
          <w:sz w:val="24"/>
          <w:szCs w:val="24"/>
          <w:lang w:val="en-GB"/>
        </w:rPr>
        <w:t xml:space="preserve">uality </w:t>
      </w:r>
      <w:r w:rsidR="009B1BA3">
        <w:rPr>
          <w:rFonts w:ascii="Times New Roman" w:hAnsi="Times New Roman"/>
          <w:bCs/>
          <w:sz w:val="24"/>
          <w:szCs w:val="24"/>
          <w:lang w:val="en-GB"/>
        </w:rPr>
        <w:t>C</w:t>
      </w:r>
      <w:r w:rsidRPr="00F74977">
        <w:rPr>
          <w:rFonts w:ascii="Times New Roman" w:hAnsi="Times New Roman"/>
          <w:bCs/>
          <w:sz w:val="24"/>
          <w:szCs w:val="24"/>
          <w:lang w:val="en-GB"/>
        </w:rPr>
        <w:t xml:space="preserve">ontrol and </w:t>
      </w:r>
      <w:r w:rsidR="009B1BA3">
        <w:rPr>
          <w:rFonts w:ascii="Times New Roman" w:hAnsi="Times New Roman"/>
          <w:bCs/>
          <w:sz w:val="24"/>
          <w:szCs w:val="24"/>
          <w:lang w:val="en-GB"/>
        </w:rPr>
        <w:t>E</w:t>
      </w:r>
      <w:r w:rsidRPr="00F74977">
        <w:rPr>
          <w:rFonts w:ascii="Times New Roman" w:hAnsi="Times New Roman"/>
          <w:bCs/>
          <w:sz w:val="24"/>
          <w:szCs w:val="24"/>
          <w:lang w:val="en-GB"/>
        </w:rPr>
        <w:t xml:space="preserve">valuation of </w:t>
      </w:r>
      <w:r w:rsidR="009B1BA3">
        <w:rPr>
          <w:rFonts w:ascii="Times New Roman" w:hAnsi="Times New Roman"/>
          <w:bCs/>
          <w:sz w:val="24"/>
          <w:szCs w:val="24"/>
          <w:lang w:val="en-GB"/>
        </w:rPr>
        <w:t>C</w:t>
      </w:r>
      <w:r w:rsidRPr="00F74977">
        <w:rPr>
          <w:rFonts w:ascii="Times New Roman" w:hAnsi="Times New Roman"/>
          <w:bCs/>
          <w:sz w:val="24"/>
          <w:szCs w:val="24"/>
          <w:lang w:val="en-GB"/>
        </w:rPr>
        <w:t xml:space="preserve">onformity – Part 9: General </w:t>
      </w:r>
      <w:r w:rsidR="009B1BA3">
        <w:rPr>
          <w:rFonts w:ascii="Times New Roman" w:hAnsi="Times New Roman"/>
          <w:bCs/>
          <w:sz w:val="24"/>
          <w:szCs w:val="24"/>
          <w:lang w:val="en-GB"/>
        </w:rPr>
        <w:t>P</w:t>
      </w:r>
      <w:r w:rsidRPr="00F74977">
        <w:rPr>
          <w:rFonts w:ascii="Times New Roman" w:hAnsi="Times New Roman"/>
          <w:bCs/>
          <w:sz w:val="24"/>
          <w:szCs w:val="24"/>
          <w:lang w:val="en-GB"/>
        </w:rPr>
        <w:t xml:space="preserve">rinciples for the use of </w:t>
      </w:r>
      <w:r w:rsidR="009B1BA3">
        <w:rPr>
          <w:rFonts w:ascii="Times New Roman" w:hAnsi="Times New Roman"/>
          <w:bCs/>
          <w:sz w:val="24"/>
          <w:szCs w:val="24"/>
          <w:lang w:val="en-GB"/>
        </w:rPr>
        <w:t>P</w:t>
      </w:r>
      <w:r w:rsidRPr="00F74977">
        <w:rPr>
          <w:rFonts w:ascii="Times New Roman" w:hAnsi="Times New Roman"/>
          <w:bCs/>
          <w:sz w:val="24"/>
          <w:szCs w:val="24"/>
          <w:lang w:val="en-GB"/>
        </w:rPr>
        <w:t xml:space="preserve">roducts and </w:t>
      </w:r>
      <w:r w:rsidR="009B1BA3">
        <w:rPr>
          <w:rFonts w:ascii="Times New Roman" w:hAnsi="Times New Roman"/>
          <w:bCs/>
          <w:sz w:val="24"/>
          <w:szCs w:val="24"/>
          <w:lang w:val="en-GB"/>
        </w:rPr>
        <w:t>S</w:t>
      </w:r>
      <w:r w:rsidRPr="00F74977">
        <w:rPr>
          <w:rFonts w:ascii="Times New Roman" w:hAnsi="Times New Roman"/>
          <w:bCs/>
          <w:sz w:val="24"/>
          <w:szCs w:val="24"/>
          <w:lang w:val="en-GB"/>
        </w:rPr>
        <w:t xml:space="preserve">ystems, </w:t>
      </w:r>
      <w:r w:rsidR="00833588" w:rsidRPr="00DD54C7">
        <w:rPr>
          <w:rFonts w:ascii="Times New Roman" w:hAnsi="Times New Roman"/>
          <w:bCs/>
          <w:sz w:val="24"/>
          <w:szCs w:val="24"/>
          <w:lang w:val="en-GB"/>
        </w:rPr>
        <w:t>EN 1504-9:2008</w:t>
      </w:r>
      <w:r w:rsidR="00833588" w:rsidRPr="00F74977">
        <w:rPr>
          <w:rFonts w:ascii="Times New Roman" w:hAnsi="Times New Roman"/>
          <w:bCs/>
          <w:sz w:val="24"/>
          <w:szCs w:val="24"/>
          <w:lang w:val="en-GB"/>
        </w:rPr>
        <w:t xml:space="preserve">, </w:t>
      </w:r>
      <w:r w:rsidR="009B1BA3">
        <w:rPr>
          <w:rFonts w:ascii="Times New Roman" w:hAnsi="Times New Roman"/>
          <w:bCs/>
          <w:sz w:val="24"/>
          <w:szCs w:val="24"/>
          <w:lang w:val="en-GB"/>
        </w:rPr>
        <w:t xml:space="preserve">Brussels, </w:t>
      </w:r>
      <w:r w:rsidRPr="00F74977">
        <w:rPr>
          <w:rFonts w:ascii="Times New Roman" w:hAnsi="Times New Roman"/>
          <w:bCs/>
          <w:sz w:val="24"/>
          <w:szCs w:val="24"/>
          <w:lang w:val="en-GB"/>
        </w:rPr>
        <w:t>2008</w:t>
      </w:r>
      <w:r w:rsidR="00375B90" w:rsidRPr="00F74977">
        <w:rPr>
          <w:rFonts w:ascii="Times New Roman" w:hAnsi="Times New Roman"/>
          <w:bCs/>
          <w:sz w:val="24"/>
          <w:szCs w:val="24"/>
          <w:lang w:val="en-GB"/>
        </w:rPr>
        <w:t>.</w:t>
      </w:r>
      <w:bookmarkEnd w:id="7"/>
    </w:p>
    <w:p w14:paraId="4437EC0C" w14:textId="17F0A1B9" w:rsidR="004067B9" w:rsidRPr="00F74977" w:rsidRDefault="00C95ACD"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8" w:name="_Ref156400348"/>
      <w:r w:rsidRPr="00F74977">
        <w:rPr>
          <w:rFonts w:ascii="Times New Roman" w:hAnsi="Times New Roman"/>
          <w:sz w:val="24"/>
          <w:szCs w:val="24"/>
          <w:lang w:val="en-GB"/>
        </w:rPr>
        <w:t>AMERICAN SOCIETY OF MECHANICAL ENGINEERS</w:t>
      </w:r>
      <w:r w:rsidR="003806F8" w:rsidRPr="00F74977">
        <w:rPr>
          <w:rFonts w:ascii="Times New Roman" w:hAnsi="Times New Roman"/>
          <w:sz w:val="24"/>
          <w:szCs w:val="24"/>
          <w:lang w:val="en-GB"/>
        </w:rPr>
        <w:t>, Rules for Inservice Inspection of Nuclear Power Plant Components, Chapter XI, ASME, New York, NY</w:t>
      </w:r>
      <w:r w:rsidR="00910837" w:rsidRPr="00F74977">
        <w:rPr>
          <w:rFonts w:ascii="Times New Roman" w:hAnsi="Times New Roman"/>
          <w:sz w:val="24"/>
          <w:szCs w:val="24"/>
          <w:lang w:val="en-GB"/>
        </w:rPr>
        <w:t>, 2019.</w:t>
      </w:r>
      <w:bookmarkEnd w:id="8"/>
    </w:p>
    <w:p w14:paraId="1FB4881D" w14:textId="7A1D8693" w:rsidR="00375B90" w:rsidRPr="00F74977" w:rsidRDefault="00136B9B"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9" w:name="_Ref156400369"/>
      <w:r w:rsidRPr="00F74977">
        <w:rPr>
          <w:rFonts w:ascii="Times New Roman" w:hAnsi="Times New Roman"/>
          <w:sz w:val="24"/>
          <w:szCs w:val="24"/>
          <w:lang w:val="en-GB"/>
        </w:rPr>
        <w:t xml:space="preserve">INTERNATIONAL ATOMIC ENERGY AGENCY, Ageing Management of Concrete Structures in Nuclear Power Plants, IAEA Nuclear Energy Series No. NP-T-3.5, </w:t>
      </w:r>
      <w:r w:rsidR="00466A6F" w:rsidRPr="00F74977">
        <w:rPr>
          <w:rFonts w:ascii="Times New Roman" w:hAnsi="Times New Roman"/>
          <w:sz w:val="24"/>
          <w:szCs w:val="24"/>
          <w:lang w:val="en-GB"/>
        </w:rPr>
        <w:t xml:space="preserve">IAEA, </w:t>
      </w:r>
      <w:r w:rsidR="006F4095" w:rsidRPr="00F74977">
        <w:rPr>
          <w:rFonts w:ascii="Times New Roman" w:hAnsi="Times New Roman"/>
          <w:sz w:val="24"/>
          <w:szCs w:val="24"/>
          <w:lang w:val="en-GB"/>
        </w:rPr>
        <w:t xml:space="preserve">Vienna, </w:t>
      </w:r>
      <w:r w:rsidRPr="00F74977">
        <w:rPr>
          <w:rFonts w:ascii="Times New Roman" w:hAnsi="Times New Roman"/>
          <w:sz w:val="24"/>
          <w:szCs w:val="24"/>
          <w:lang w:val="en-GB"/>
        </w:rPr>
        <w:t>2016.</w:t>
      </w:r>
      <w:bookmarkEnd w:id="9"/>
    </w:p>
    <w:p w14:paraId="3CDB03B4" w14:textId="77777777" w:rsidR="009861F4" w:rsidRDefault="0038691E"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10" w:name="_Ref156400580"/>
      <w:r w:rsidRPr="00F74977">
        <w:rPr>
          <w:rFonts w:ascii="Times New Roman" w:hAnsi="Times New Roman"/>
          <w:sz w:val="24"/>
          <w:szCs w:val="24"/>
          <w:lang w:val="en-GB"/>
        </w:rPr>
        <w:t xml:space="preserve">INTERNATIONAL ATOMIC ENERGY AGENCY, Ageing Management and Development of a Programme for Long Term Operations of Nuclear Power Plants, </w:t>
      </w:r>
      <w:r w:rsidR="00051AB2">
        <w:rPr>
          <w:rFonts w:ascii="Times New Roman" w:hAnsi="Times New Roman"/>
          <w:sz w:val="24"/>
          <w:szCs w:val="24"/>
          <w:lang w:val="en-GB"/>
        </w:rPr>
        <w:t>IAEA</w:t>
      </w:r>
      <w:r w:rsidRPr="00F74977">
        <w:rPr>
          <w:rFonts w:ascii="Times New Roman" w:hAnsi="Times New Roman"/>
          <w:sz w:val="24"/>
          <w:szCs w:val="24"/>
          <w:lang w:val="en-GB"/>
        </w:rPr>
        <w:t xml:space="preserve"> Safety Standards Series No. SSG-48, IAEA, Vienna</w:t>
      </w:r>
      <w:r w:rsidR="00F76F20" w:rsidRPr="00F74977">
        <w:rPr>
          <w:rFonts w:ascii="Times New Roman" w:hAnsi="Times New Roman"/>
          <w:sz w:val="24"/>
          <w:szCs w:val="24"/>
          <w:lang w:val="en-GB"/>
        </w:rPr>
        <w:t xml:space="preserve">, </w:t>
      </w:r>
      <w:r w:rsidRPr="00F74977">
        <w:rPr>
          <w:rFonts w:ascii="Times New Roman" w:hAnsi="Times New Roman"/>
          <w:sz w:val="24"/>
          <w:szCs w:val="24"/>
          <w:lang w:val="en-GB"/>
        </w:rPr>
        <w:t>2018</w:t>
      </w:r>
      <w:bookmarkEnd w:id="10"/>
      <w:r w:rsidR="009861F4">
        <w:rPr>
          <w:rFonts w:ascii="Times New Roman" w:hAnsi="Times New Roman"/>
          <w:sz w:val="24"/>
          <w:szCs w:val="24"/>
          <w:lang w:val="en-GB"/>
        </w:rPr>
        <w:t>.</w:t>
      </w:r>
      <w:bookmarkStart w:id="11" w:name="_Ref156400590"/>
    </w:p>
    <w:p w14:paraId="3FD6C571" w14:textId="77777777" w:rsidR="00142AB0" w:rsidRPr="00142AB0" w:rsidRDefault="0038691E"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r w:rsidRPr="009861F4">
        <w:rPr>
          <w:rFonts w:ascii="Times New Roman" w:hAnsi="Times New Roman"/>
          <w:sz w:val="24"/>
          <w:szCs w:val="24"/>
          <w:lang w:val="en-GB"/>
        </w:rPr>
        <w:t>INTERNATIONAL ATOMIC ENERGY AGENCY, Ageing Management for Nuclear</w:t>
      </w:r>
      <w:r w:rsidR="002E22E7" w:rsidRPr="009861F4">
        <w:rPr>
          <w:rFonts w:ascii="Times New Roman" w:hAnsi="Times New Roman"/>
          <w:sz w:val="24"/>
          <w:szCs w:val="24"/>
          <w:lang w:val="en-GB"/>
        </w:rPr>
        <w:t xml:space="preserve"> </w:t>
      </w:r>
      <w:r w:rsidRPr="009861F4">
        <w:rPr>
          <w:rFonts w:ascii="Times New Roman" w:hAnsi="Times New Roman"/>
          <w:sz w:val="24"/>
          <w:szCs w:val="24"/>
          <w:lang w:val="en-GB"/>
        </w:rPr>
        <w:t xml:space="preserve">Power Plants: International Generic Ageing Lessons Learned (IGALL), </w:t>
      </w:r>
      <w:r w:rsidR="00D75EBA" w:rsidRPr="009861F4">
        <w:rPr>
          <w:rFonts w:ascii="Times New Roman" w:hAnsi="Times New Roman"/>
          <w:sz w:val="24"/>
          <w:szCs w:val="24"/>
          <w:lang w:val="en-GB"/>
        </w:rPr>
        <w:t>IAEA Safety Reports Series No. 82 (Rev. 2), IAEA, Vienna, Preprint</w:t>
      </w:r>
      <w:r w:rsidR="00D75EBA" w:rsidRPr="00142AB0">
        <w:rPr>
          <w:rFonts w:ascii="Times New Roman" w:hAnsi="Times New Roman"/>
          <w:sz w:val="24"/>
          <w:szCs w:val="24"/>
          <w:lang w:val="en-GB"/>
        </w:rPr>
        <w:t>.</w:t>
      </w:r>
      <w:bookmarkEnd w:id="11"/>
    </w:p>
    <w:p w14:paraId="245FE6E1" w14:textId="77777777" w:rsidR="00142AB0" w:rsidRPr="00142AB0" w:rsidRDefault="009861F4"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12" w:name="_Ref156400910"/>
      <w:r w:rsidRPr="00142AB0">
        <w:rPr>
          <w:rFonts w:ascii="Times New Roman" w:hAnsi="Times New Roman"/>
          <w:sz w:val="24"/>
          <w:szCs w:val="24"/>
          <w:lang w:val="en-GB"/>
        </w:rPr>
        <w:t>INTERNATIONAL ATOMIC ENERGY AGENCY, Format and Content of the Safety Analysis Report for Nuclear Power Plants, IAEA Safety Standards Series No. SSG-61, IAEA, Vienna, 2021.</w:t>
      </w:r>
      <w:bookmarkStart w:id="13" w:name="_Ref105406618"/>
      <w:bookmarkEnd w:id="12"/>
    </w:p>
    <w:p w14:paraId="247BC179" w14:textId="59046504" w:rsidR="00142AB0" w:rsidRPr="00142AB0" w:rsidRDefault="005054CA"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14" w:name="_Ref156400922"/>
      <w:r w:rsidRPr="00142AB0">
        <w:rPr>
          <w:rFonts w:ascii="Times New Roman" w:hAnsi="Times New Roman"/>
          <w:sz w:val="24"/>
          <w:szCs w:val="24"/>
          <w:lang w:val="en-GB"/>
        </w:rPr>
        <w:t xml:space="preserve">INTERNATIONAL ATOMIC ENERGY AGENCY, Application of </w:t>
      </w:r>
      <w:r w:rsidR="00972B57">
        <w:rPr>
          <w:rFonts w:ascii="Times New Roman" w:hAnsi="Times New Roman"/>
          <w:sz w:val="24"/>
          <w:szCs w:val="24"/>
          <w:lang w:val="en-GB"/>
        </w:rPr>
        <w:t xml:space="preserve">the </w:t>
      </w:r>
      <w:r w:rsidRPr="00142AB0">
        <w:rPr>
          <w:rFonts w:ascii="Times New Roman" w:hAnsi="Times New Roman"/>
          <w:sz w:val="24"/>
          <w:szCs w:val="24"/>
          <w:lang w:val="en-GB"/>
        </w:rPr>
        <w:t>Management System for Facilities and Activities, IAEA Safety Standards Series No. GS-G-3.1, IAEA, Vienna, 2006.</w:t>
      </w:r>
      <w:bookmarkStart w:id="15" w:name="_Ref105406797"/>
      <w:bookmarkEnd w:id="13"/>
      <w:bookmarkEnd w:id="14"/>
    </w:p>
    <w:p w14:paraId="2D9AFCB7" w14:textId="00A85713" w:rsidR="009861F4" w:rsidRPr="00142AB0" w:rsidRDefault="00142AB0" w:rsidP="001C40CC">
      <w:pPr>
        <w:pStyle w:val="IGALLReferences"/>
        <w:numPr>
          <w:ilvl w:val="0"/>
          <w:numId w:val="15"/>
        </w:numPr>
        <w:spacing w:before="120" w:after="120" w:line="240" w:lineRule="auto"/>
        <w:ind w:left="714" w:hanging="714"/>
        <w:jc w:val="both"/>
        <w:rPr>
          <w:rFonts w:ascii="Times New Roman" w:hAnsi="Times New Roman"/>
          <w:sz w:val="24"/>
          <w:szCs w:val="24"/>
          <w:lang w:val="en-GB"/>
        </w:rPr>
      </w:pPr>
      <w:bookmarkStart w:id="16" w:name="_Ref156400933"/>
      <w:r w:rsidRPr="00142AB0">
        <w:rPr>
          <w:rFonts w:ascii="Times New Roman" w:hAnsi="Times New Roman"/>
          <w:sz w:val="24"/>
          <w:szCs w:val="24"/>
          <w:lang w:val="en-GB"/>
        </w:rPr>
        <w:t xml:space="preserve">INTERNATIONAL ATOMIC ENERGY AGENCY, Ageing Management </w:t>
      </w:r>
      <w:r w:rsidR="00646D65">
        <w:rPr>
          <w:rFonts w:ascii="Times New Roman" w:hAnsi="Times New Roman"/>
          <w:sz w:val="24"/>
          <w:szCs w:val="24"/>
          <w:lang w:val="en-GB"/>
        </w:rPr>
        <w:t xml:space="preserve">and </w:t>
      </w:r>
      <w:proofErr w:type="gramStart"/>
      <w:r w:rsidR="00646D65">
        <w:rPr>
          <w:rFonts w:ascii="Times New Roman" w:hAnsi="Times New Roman"/>
          <w:sz w:val="24"/>
          <w:szCs w:val="24"/>
          <w:lang w:val="en-GB"/>
        </w:rPr>
        <w:t>Long Term</w:t>
      </w:r>
      <w:proofErr w:type="gramEnd"/>
      <w:r w:rsidR="00646D65">
        <w:rPr>
          <w:rFonts w:ascii="Times New Roman" w:hAnsi="Times New Roman"/>
          <w:sz w:val="24"/>
          <w:szCs w:val="24"/>
          <w:lang w:val="en-GB"/>
        </w:rPr>
        <w:t xml:space="preserve"> Operation </w:t>
      </w:r>
      <w:r w:rsidRPr="00142AB0">
        <w:rPr>
          <w:rFonts w:ascii="Times New Roman" w:hAnsi="Times New Roman"/>
          <w:sz w:val="24"/>
          <w:szCs w:val="24"/>
          <w:lang w:val="en-GB"/>
        </w:rPr>
        <w:t xml:space="preserve">for Nuclear Power Plants: Data Management, Scope Setting, Plant Programmes </w:t>
      </w:r>
      <w:r w:rsidR="00470C82">
        <w:rPr>
          <w:rFonts w:ascii="Times New Roman" w:hAnsi="Times New Roman"/>
          <w:sz w:val="24"/>
          <w:szCs w:val="24"/>
          <w:lang w:val="en-GB"/>
        </w:rPr>
        <w:t>and</w:t>
      </w:r>
      <w:r w:rsidRPr="00142AB0">
        <w:rPr>
          <w:rFonts w:ascii="Times New Roman" w:hAnsi="Times New Roman"/>
          <w:sz w:val="24"/>
          <w:szCs w:val="24"/>
          <w:lang w:val="en-GB"/>
        </w:rPr>
        <w:t xml:space="preserve"> Documentation, IAEA Safety Reports Series No. 106, IAEA, Vienna, 2022.</w:t>
      </w:r>
      <w:bookmarkEnd w:id="15"/>
      <w:bookmarkEnd w:id="16"/>
    </w:p>
    <w:sectPr w:rsidR="009861F4" w:rsidRPr="00142AB0" w:rsidSect="00B44E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55D"/>
    <w:multiLevelType w:val="hybridMultilevel"/>
    <w:tmpl w:val="98AC7B9A"/>
    <w:lvl w:ilvl="0" w:tplc="7218703A">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B50B8"/>
    <w:multiLevelType w:val="hybridMultilevel"/>
    <w:tmpl w:val="EC0659D4"/>
    <w:lvl w:ilvl="0" w:tplc="7218703A">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2801E2"/>
    <w:multiLevelType w:val="hybridMultilevel"/>
    <w:tmpl w:val="405EE91A"/>
    <w:lvl w:ilvl="0" w:tplc="1688D000">
      <w:start w:val="1"/>
      <w:numFmt w:val="decimal"/>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394070"/>
    <w:multiLevelType w:val="hybridMultilevel"/>
    <w:tmpl w:val="AB649EF0"/>
    <w:lvl w:ilvl="0" w:tplc="1688D0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12D8D"/>
    <w:multiLevelType w:val="hybridMultilevel"/>
    <w:tmpl w:val="5D702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0F4BC1"/>
    <w:multiLevelType w:val="multilevel"/>
    <w:tmpl w:val="C0C019A0"/>
    <w:lvl w:ilvl="0">
      <w:start w:val="1"/>
      <w:numFmt w:val="decimal"/>
      <w:pStyle w:val="Body"/>
      <w:lvlText w:val="%1."/>
      <w:lvlJc w:val="left"/>
      <w:pPr>
        <w:tabs>
          <w:tab w:val="num" w:pos="360"/>
        </w:tabs>
        <w:ind w:left="360" w:hanging="360"/>
      </w:pPr>
      <w:rPr>
        <w:rFonts w:cs="Times New Roman"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334527DA"/>
    <w:multiLevelType w:val="hybridMultilevel"/>
    <w:tmpl w:val="19AA0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DF65CF"/>
    <w:multiLevelType w:val="hybridMultilevel"/>
    <w:tmpl w:val="E8687252"/>
    <w:lvl w:ilvl="0" w:tplc="55DAF08E">
      <w:start w:val="1"/>
      <w:numFmt w:val="bullet"/>
      <w:lvlText w:val="•"/>
      <w:lvlJc w:val="left"/>
      <w:pPr>
        <w:tabs>
          <w:tab w:val="num" w:pos="720"/>
        </w:tabs>
        <w:ind w:left="720" w:hanging="360"/>
      </w:pPr>
      <w:rPr>
        <w:rFonts w:ascii="Arial" w:hAnsi="Arial" w:hint="default"/>
      </w:rPr>
    </w:lvl>
    <w:lvl w:ilvl="1" w:tplc="373C4406" w:tentative="1">
      <w:start w:val="1"/>
      <w:numFmt w:val="bullet"/>
      <w:lvlText w:val="•"/>
      <w:lvlJc w:val="left"/>
      <w:pPr>
        <w:tabs>
          <w:tab w:val="num" w:pos="1440"/>
        </w:tabs>
        <w:ind w:left="1440" w:hanging="360"/>
      </w:pPr>
      <w:rPr>
        <w:rFonts w:ascii="Arial" w:hAnsi="Arial" w:hint="default"/>
      </w:rPr>
    </w:lvl>
    <w:lvl w:ilvl="2" w:tplc="0AEC455C" w:tentative="1">
      <w:start w:val="1"/>
      <w:numFmt w:val="bullet"/>
      <w:lvlText w:val="•"/>
      <w:lvlJc w:val="left"/>
      <w:pPr>
        <w:tabs>
          <w:tab w:val="num" w:pos="2160"/>
        </w:tabs>
        <w:ind w:left="2160" w:hanging="360"/>
      </w:pPr>
      <w:rPr>
        <w:rFonts w:ascii="Arial" w:hAnsi="Arial" w:hint="default"/>
      </w:rPr>
    </w:lvl>
    <w:lvl w:ilvl="3" w:tplc="3C144110" w:tentative="1">
      <w:start w:val="1"/>
      <w:numFmt w:val="bullet"/>
      <w:lvlText w:val="•"/>
      <w:lvlJc w:val="left"/>
      <w:pPr>
        <w:tabs>
          <w:tab w:val="num" w:pos="2880"/>
        </w:tabs>
        <w:ind w:left="2880" w:hanging="360"/>
      </w:pPr>
      <w:rPr>
        <w:rFonts w:ascii="Arial" w:hAnsi="Arial" w:hint="default"/>
      </w:rPr>
    </w:lvl>
    <w:lvl w:ilvl="4" w:tplc="8FAE9252" w:tentative="1">
      <w:start w:val="1"/>
      <w:numFmt w:val="bullet"/>
      <w:lvlText w:val="•"/>
      <w:lvlJc w:val="left"/>
      <w:pPr>
        <w:tabs>
          <w:tab w:val="num" w:pos="3600"/>
        </w:tabs>
        <w:ind w:left="3600" w:hanging="360"/>
      </w:pPr>
      <w:rPr>
        <w:rFonts w:ascii="Arial" w:hAnsi="Arial" w:hint="default"/>
      </w:rPr>
    </w:lvl>
    <w:lvl w:ilvl="5" w:tplc="CEDC439C" w:tentative="1">
      <w:start w:val="1"/>
      <w:numFmt w:val="bullet"/>
      <w:lvlText w:val="•"/>
      <w:lvlJc w:val="left"/>
      <w:pPr>
        <w:tabs>
          <w:tab w:val="num" w:pos="4320"/>
        </w:tabs>
        <w:ind w:left="4320" w:hanging="360"/>
      </w:pPr>
      <w:rPr>
        <w:rFonts w:ascii="Arial" w:hAnsi="Arial" w:hint="default"/>
      </w:rPr>
    </w:lvl>
    <w:lvl w:ilvl="6" w:tplc="383E2A14" w:tentative="1">
      <w:start w:val="1"/>
      <w:numFmt w:val="bullet"/>
      <w:lvlText w:val="•"/>
      <w:lvlJc w:val="left"/>
      <w:pPr>
        <w:tabs>
          <w:tab w:val="num" w:pos="5040"/>
        </w:tabs>
        <w:ind w:left="5040" w:hanging="360"/>
      </w:pPr>
      <w:rPr>
        <w:rFonts w:ascii="Arial" w:hAnsi="Arial" w:hint="default"/>
      </w:rPr>
    </w:lvl>
    <w:lvl w:ilvl="7" w:tplc="881ABDC8" w:tentative="1">
      <w:start w:val="1"/>
      <w:numFmt w:val="bullet"/>
      <w:lvlText w:val="•"/>
      <w:lvlJc w:val="left"/>
      <w:pPr>
        <w:tabs>
          <w:tab w:val="num" w:pos="5760"/>
        </w:tabs>
        <w:ind w:left="5760" w:hanging="360"/>
      </w:pPr>
      <w:rPr>
        <w:rFonts w:ascii="Arial" w:hAnsi="Arial" w:hint="default"/>
      </w:rPr>
    </w:lvl>
    <w:lvl w:ilvl="8" w:tplc="522E21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1F0539"/>
    <w:multiLevelType w:val="hybridMultilevel"/>
    <w:tmpl w:val="0024CF4E"/>
    <w:lvl w:ilvl="0" w:tplc="7218703A">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633124"/>
    <w:multiLevelType w:val="hybridMultilevel"/>
    <w:tmpl w:val="F8406804"/>
    <w:lvl w:ilvl="0" w:tplc="29B6A056">
      <w:start w:val="1"/>
      <w:numFmt w:val="decimal"/>
      <w:pStyle w:val="IGALLReference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25266"/>
    <w:multiLevelType w:val="hybridMultilevel"/>
    <w:tmpl w:val="9D8A3970"/>
    <w:lvl w:ilvl="0" w:tplc="7218703A">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E4681A"/>
    <w:multiLevelType w:val="hybridMultilevel"/>
    <w:tmpl w:val="5F082396"/>
    <w:lvl w:ilvl="0" w:tplc="1688D0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725B0C"/>
    <w:multiLevelType w:val="hybridMultilevel"/>
    <w:tmpl w:val="1DCEC5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64080D"/>
    <w:multiLevelType w:val="hybridMultilevel"/>
    <w:tmpl w:val="2346B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B42C0B"/>
    <w:multiLevelType w:val="multilevel"/>
    <w:tmpl w:val="EECC889A"/>
    <w:lvl w:ilvl="0">
      <w:start w:val="1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9FC0275"/>
    <w:multiLevelType w:val="hybridMultilevel"/>
    <w:tmpl w:val="458C92BC"/>
    <w:lvl w:ilvl="0" w:tplc="4F34CED8">
      <w:start w:val="1"/>
      <w:numFmt w:val="lowerLetter"/>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523725">
    <w:abstractNumId w:val="12"/>
  </w:num>
  <w:num w:numId="2" w16cid:durableId="937982198">
    <w:abstractNumId w:val="0"/>
  </w:num>
  <w:num w:numId="3" w16cid:durableId="1872257177">
    <w:abstractNumId w:val="5"/>
  </w:num>
  <w:num w:numId="4" w16cid:durableId="667058173">
    <w:abstractNumId w:val="9"/>
  </w:num>
  <w:num w:numId="5" w16cid:durableId="1459109626">
    <w:abstractNumId w:val="13"/>
  </w:num>
  <w:num w:numId="6" w16cid:durableId="1588272207">
    <w:abstractNumId w:val="4"/>
  </w:num>
  <w:num w:numId="7" w16cid:durableId="253588969">
    <w:abstractNumId w:val="1"/>
  </w:num>
  <w:num w:numId="8" w16cid:durableId="547037779">
    <w:abstractNumId w:val="6"/>
  </w:num>
  <w:num w:numId="9" w16cid:durableId="2006325113">
    <w:abstractNumId w:val="10"/>
  </w:num>
  <w:num w:numId="10" w16cid:durableId="270236776">
    <w:abstractNumId w:val="8"/>
  </w:num>
  <w:num w:numId="11" w16cid:durableId="94250319">
    <w:abstractNumId w:val="15"/>
  </w:num>
  <w:num w:numId="12" w16cid:durableId="2020309395">
    <w:abstractNumId w:val="7"/>
  </w:num>
  <w:num w:numId="13" w16cid:durableId="1094283966">
    <w:abstractNumId w:val="14"/>
  </w:num>
  <w:num w:numId="14" w16cid:durableId="48581851">
    <w:abstractNumId w:val="9"/>
  </w:num>
  <w:num w:numId="15" w16cid:durableId="1281187124">
    <w:abstractNumId w:val="11"/>
  </w:num>
  <w:num w:numId="16" w16cid:durableId="1062487655">
    <w:abstractNumId w:val="3"/>
  </w:num>
  <w:num w:numId="17" w16cid:durableId="1081564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6E"/>
    <w:rsid w:val="0000662E"/>
    <w:rsid w:val="00013D29"/>
    <w:rsid w:val="000206F7"/>
    <w:rsid w:val="00027341"/>
    <w:rsid w:val="00035AB1"/>
    <w:rsid w:val="000451E2"/>
    <w:rsid w:val="000478BD"/>
    <w:rsid w:val="000511C7"/>
    <w:rsid w:val="00051AB2"/>
    <w:rsid w:val="000623D6"/>
    <w:rsid w:val="0008611B"/>
    <w:rsid w:val="000876DC"/>
    <w:rsid w:val="000916FE"/>
    <w:rsid w:val="000A6EF9"/>
    <w:rsid w:val="000A6F7A"/>
    <w:rsid w:val="000B2AD9"/>
    <w:rsid w:val="000C4B51"/>
    <w:rsid w:val="000D7A79"/>
    <w:rsid w:val="000F3C42"/>
    <w:rsid w:val="000F45D3"/>
    <w:rsid w:val="00107902"/>
    <w:rsid w:val="0012745B"/>
    <w:rsid w:val="001317BD"/>
    <w:rsid w:val="0013477D"/>
    <w:rsid w:val="00136B9B"/>
    <w:rsid w:val="00142AB0"/>
    <w:rsid w:val="00142EB1"/>
    <w:rsid w:val="001442F1"/>
    <w:rsid w:val="00156219"/>
    <w:rsid w:val="00160824"/>
    <w:rsid w:val="00167540"/>
    <w:rsid w:val="001701E7"/>
    <w:rsid w:val="001A1D23"/>
    <w:rsid w:val="001A5812"/>
    <w:rsid w:val="001B5476"/>
    <w:rsid w:val="001C40CC"/>
    <w:rsid w:val="001D0CF5"/>
    <w:rsid w:val="001D11EB"/>
    <w:rsid w:val="001D541A"/>
    <w:rsid w:val="001E3156"/>
    <w:rsid w:val="001E381A"/>
    <w:rsid w:val="001E47F2"/>
    <w:rsid w:val="001E4FC9"/>
    <w:rsid w:val="00200A16"/>
    <w:rsid w:val="002059ED"/>
    <w:rsid w:val="00224EEE"/>
    <w:rsid w:val="00243777"/>
    <w:rsid w:val="00244E22"/>
    <w:rsid w:val="00280393"/>
    <w:rsid w:val="00281644"/>
    <w:rsid w:val="002A4E7C"/>
    <w:rsid w:val="002C21C2"/>
    <w:rsid w:val="002C64AF"/>
    <w:rsid w:val="002D2D9E"/>
    <w:rsid w:val="002D4E7C"/>
    <w:rsid w:val="002D5D99"/>
    <w:rsid w:val="002E22E7"/>
    <w:rsid w:val="002E7AE7"/>
    <w:rsid w:val="002F0637"/>
    <w:rsid w:val="002F1A03"/>
    <w:rsid w:val="002F51D6"/>
    <w:rsid w:val="00317669"/>
    <w:rsid w:val="003240AE"/>
    <w:rsid w:val="00334AE8"/>
    <w:rsid w:val="00341907"/>
    <w:rsid w:val="003469C9"/>
    <w:rsid w:val="00350CBD"/>
    <w:rsid w:val="00364B89"/>
    <w:rsid w:val="00375B90"/>
    <w:rsid w:val="003806F8"/>
    <w:rsid w:val="0038224D"/>
    <w:rsid w:val="0038691E"/>
    <w:rsid w:val="00386CAB"/>
    <w:rsid w:val="00393E05"/>
    <w:rsid w:val="003A04F7"/>
    <w:rsid w:val="003A3D5A"/>
    <w:rsid w:val="003A43FF"/>
    <w:rsid w:val="003A67FD"/>
    <w:rsid w:val="003D0925"/>
    <w:rsid w:val="003E49D6"/>
    <w:rsid w:val="003E6287"/>
    <w:rsid w:val="003F0A93"/>
    <w:rsid w:val="003F397A"/>
    <w:rsid w:val="004031A6"/>
    <w:rsid w:val="004031EF"/>
    <w:rsid w:val="004067B9"/>
    <w:rsid w:val="0041076F"/>
    <w:rsid w:val="004336A4"/>
    <w:rsid w:val="00445135"/>
    <w:rsid w:val="0045039F"/>
    <w:rsid w:val="0045064B"/>
    <w:rsid w:val="00451BF3"/>
    <w:rsid w:val="0046367C"/>
    <w:rsid w:val="00466A6F"/>
    <w:rsid w:val="00470C82"/>
    <w:rsid w:val="00477D9E"/>
    <w:rsid w:val="00497F0E"/>
    <w:rsid w:val="004A13AF"/>
    <w:rsid w:val="004B0B7C"/>
    <w:rsid w:val="004F7A25"/>
    <w:rsid w:val="005054CA"/>
    <w:rsid w:val="00511210"/>
    <w:rsid w:val="00525083"/>
    <w:rsid w:val="0055103E"/>
    <w:rsid w:val="00553C60"/>
    <w:rsid w:val="005546ED"/>
    <w:rsid w:val="00566937"/>
    <w:rsid w:val="00575F65"/>
    <w:rsid w:val="005764B6"/>
    <w:rsid w:val="00576BF0"/>
    <w:rsid w:val="00581D74"/>
    <w:rsid w:val="005B093E"/>
    <w:rsid w:val="005C44C9"/>
    <w:rsid w:val="005D5DFA"/>
    <w:rsid w:val="005E3871"/>
    <w:rsid w:val="00601D55"/>
    <w:rsid w:val="00607D7F"/>
    <w:rsid w:val="00616070"/>
    <w:rsid w:val="00640A23"/>
    <w:rsid w:val="00646D65"/>
    <w:rsid w:val="00662C52"/>
    <w:rsid w:val="006647AE"/>
    <w:rsid w:val="00667E4B"/>
    <w:rsid w:val="00681C02"/>
    <w:rsid w:val="00683DFB"/>
    <w:rsid w:val="006908C3"/>
    <w:rsid w:val="006A04BE"/>
    <w:rsid w:val="006A2248"/>
    <w:rsid w:val="006A4EB7"/>
    <w:rsid w:val="006C169F"/>
    <w:rsid w:val="006C3CD7"/>
    <w:rsid w:val="006D4A1A"/>
    <w:rsid w:val="006E20C7"/>
    <w:rsid w:val="006E260E"/>
    <w:rsid w:val="006F2B6E"/>
    <w:rsid w:val="006F4095"/>
    <w:rsid w:val="006F537D"/>
    <w:rsid w:val="006F5A28"/>
    <w:rsid w:val="006F5C29"/>
    <w:rsid w:val="006F7C33"/>
    <w:rsid w:val="00700589"/>
    <w:rsid w:val="00704921"/>
    <w:rsid w:val="00710521"/>
    <w:rsid w:val="00714A05"/>
    <w:rsid w:val="007151EE"/>
    <w:rsid w:val="00726B02"/>
    <w:rsid w:val="00740316"/>
    <w:rsid w:val="0074544D"/>
    <w:rsid w:val="00751AAE"/>
    <w:rsid w:val="00762E28"/>
    <w:rsid w:val="00785D51"/>
    <w:rsid w:val="007A3621"/>
    <w:rsid w:val="007B349E"/>
    <w:rsid w:val="007C0F43"/>
    <w:rsid w:val="0080248D"/>
    <w:rsid w:val="0080272E"/>
    <w:rsid w:val="00804732"/>
    <w:rsid w:val="00807803"/>
    <w:rsid w:val="008223D1"/>
    <w:rsid w:val="00822C00"/>
    <w:rsid w:val="00824B11"/>
    <w:rsid w:val="0082756F"/>
    <w:rsid w:val="00832ABE"/>
    <w:rsid w:val="00833588"/>
    <w:rsid w:val="00835311"/>
    <w:rsid w:val="0084502F"/>
    <w:rsid w:val="00847F5E"/>
    <w:rsid w:val="00851B6E"/>
    <w:rsid w:val="00860877"/>
    <w:rsid w:val="00885DDC"/>
    <w:rsid w:val="00887D5A"/>
    <w:rsid w:val="00897F35"/>
    <w:rsid w:val="008A45F4"/>
    <w:rsid w:val="008A4C30"/>
    <w:rsid w:val="008B571D"/>
    <w:rsid w:val="008B739C"/>
    <w:rsid w:val="008E2778"/>
    <w:rsid w:val="008F5A4B"/>
    <w:rsid w:val="00910837"/>
    <w:rsid w:val="009113F9"/>
    <w:rsid w:val="009131E4"/>
    <w:rsid w:val="009134F5"/>
    <w:rsid w:val="00920EC2"/>
    <w:rsid w:val="00931850"/>
    <w:rsid w:val="009362B8"/>
    <w:rsid w:val="00936540"/>
    <w:rsid w:val="00937D37"/>
    <w:rsid w:val="009421C7"/>
    <w:rsid w:val="00942EDA"/>
    <w:rsid w:val="00946B18"/>
    <w:rsid w:val="00972956"/>
    <w:rsid w:val="00972B57"/>
    <w:rsid w:val="009811A2"/>
    <w:rsid w:val="00981F64"/>
    <w:rsid w:val="00984B9A"/>
    <w:rsid w:val="00985EDA"/>
    <w:rsid w:val="009861F4"/>
    <w:rsid w:val="00993FEB"/>
    <w:rsid w:val="009976F1"/>
    <w:rsid w:val="009978AD"/>
    <w:rsid w:val="009A6BC6"/>
    <w:rsid w:val="009A70EB"/>
    <w:rsid w:val="009A7FB2"/>
    <w:rsid w:val="009B0724"/>
    <w:rsid w:val="009B1BA3"/>
    <w:rsid w:val="009B4CBE"/>
    <w:rsid w:val="009B551A"/>
    <w:rsid w:val="009C4860"/>
    <w:rsid w:val="009C71A1"/>
    <w:rsid w:val="009D3BF7"/>
    <w:rsid w:val="009D7303"/>
    <w:rsid w:val="009E433C"/>
    <w:rsid w:val="009F0B70"/>
    <w:rsid w:val="00A23BE1"/>
    <w:rsid w:val="00A3222F"/>
    <w:rsid w:val="00A34523"/>
    <w:rsid w:val="00A367C9"/>
    <w:rsid w:val="00A54F06"/>
    <w:rsid w:val="00A60C1A"/>
    <w:rsid w:val="00A6680F"/>
    <w:rsid w:val="00A77877"/>
    <w:rsid w:val="00A80A85"/>
    <w:rsid w:val="00A80AFE"/>
    <w:rsid w:val="00AD19D5"/>
    <w:rsid w:val="00AD2420"/>
    <w:rsid w:val="00AE0320"/>
    <w:rsid w:val="00AE765B"/>
    <w:rsid w:val="00B00F1B"/>
    <w:rsid w:val="00B01A8B"/>
    <w:rsid w:val="00B1572F"/>
    <w:rsid w:val="00B40FB9"/>
    <w:rsid w:val="00B41113"/>
    <w:rsid w:val="00B44EA3"/>
    <w:rsid w:val="00B45479"/>
    <w:rsid w:val="00B53880"/>
    <w:rsid w:val="00B62036"/>
    <w:rsid w:val="00B74F21"/>
    <w:rsid w:val="00B76338"/>
    <w:rsid w:val="00BA4286"/>
    <w:rsid w:val="00BA5A1B"/>
    <w:rsid w:val="00BB4DC0"/>
    <w:rsid w:val="00BC09D3"/>
    <w:rsid w:val="00BC0D07"/>
    <w:rsid w:val="00BD4ABE"/>
    <w:rsid w:val="00BD6AB8"/>
    <w:rsid w:val="00BE30C3"/>
    <w:rsid w:val="00C010C7"/>
    <w:rsid w:val="00C05D73"/>
    <w:rsid w:val="00C12B3E"/>
    <w:rsid w:val="00C2306C"/>
    <w:rsid w:val="00C3066F"/>
    <w:rsid w:val="00C35D1D"/>
    <w:rsid w:val="00C534FE"/>
    <w:rsid w:val="00C63A07"/>
    <w:rsid w:val="00C84DA8"/>
    <w:rsid w:val="00C87A03"/>
    <w:rsid w:val="00C95ACD"/>
    <w:rsid w:val="00CA114A"/>
    <w:rsid w:val="00CC6703"/>
    <w:rsid w:val="00CD14AB"/>
    <w:rsid w:val="00CD2BA7"/>
    <w:rsid w:val="00CD5E40"/>
    <w:rsid w:val="00CE53A3"/>
    <w:rsid w:val="00CE5874"/>
    <w:rsid w:val="00CE7F12"/>
    <w:rsid w:val="00D0163D"/>
    <w:rsid w:val="00D04D2F"/>
    <w:rsid w:val="00D1177B"/>
    <w:rsid w:val="00D20340"/>
    <w:rsid w:val="00D37EA1"/>
    <w:rsid w:val="00D418B4"/>
    <w:rsid w:val="00D63300"/>
    <w:rsid w:val="00D71483"/>
    <w:rsid w:val="00D75EBA"/>
    <w:rsid w:val="00D81AE5"/>
    <w:rsid w:val="00DA5768"/>
    <w:rsid w:val="00DD54C7"/>
    <w:rsid w:val="00DD59EC"/>
    <w:rsid w:val="00DF24F0"/>
    <w:rsid w:val="00DF3E88"/>
    <w:rsid w:val="00E10093"/>
    <w:rsid w:val="00E247A6"/>
    <w:rsid w:val="00E35560"/>
    <w:rsid w:val="00E3787F"/>
    <w:rsid w:val="00E43BFA"/>
    <w:rsid w:val="00E46DF0"/>
    <w:rsid w:val="00E66C6F"/>
    <w:rsid w:val="00E80A8C"/>
    <w:rsid w:val="00E81B24"/>
    <w:rsid w:val="00E81CA4"/>
    <w:rsid w:val="00E846ED"/>
    <w:rsid w:val="00E855D2"/>
    <w:rsid w:val="00E85E69"/>
    <w:rsid w:val="00E91890"/>
    <w:rsid w:val="00E940E7"/>
    <w:rsid w:val="00EA0D9C"/>
    <w:rsid w:val="00EA294E"/>
    <w:rsid w:val="00EB6143"/>
    <w:rsid w:val="00EC2338"/>
    <w:rsid w:val="00EC43D5"/>
    <w:rsid w:val="00ED048B"/>
    <w:rsid w:val="00ED08E9"/>
    <w:rsid w:val="00ED18E9"/>
    <w:rsid w:val="00F019B4"/>
    <w:rsid w:val="00F02152"/>
    <w:rsid w:val="00F0585E"/>
    <w:rsid w:val="00F3115A"/>
    <w:rsid w:val="00F36D85"/>
    <w:rsid w:val="00F542F4"/>
    <w:rsid w:val="00F54626"/>
    <w:rsid w:val="00F57678"/>
    <w:rsid w:val="00F72DC6"/>
    <w:rsid w:val="00F74977"/>
    <w:rsid w:val="00F766AB"/>
    <w:rsid w:val="00F76F20"/>
    <w:rsid w:val="00F91DE3"/>
    <w:rsid w:val="00FA656C"/>
    <w:rsid w:val="00FF3711"/>
    <w:rsid w:val="00FF3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F95D"/>
  <w15:docId w15:val="{AD84D3C4-3C8F-40EA-A76B-B51819A9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A3"/>
  </w:style>
  <w:style w:type="paragraph" w:styleId="Heading2">
    <w:name w:val="heading 2"/>
    <w:basedOn w:val="Normal"/>
    <w:next w:val="Normal"/>
    <w:link w:val="Heading2Char"/>
    <w:uiPriority w:val="9"/>
    <w:semiHidden/>
    <w:unhideWhenUsed/>
    <w:qFormat/>
    <w:rsid w:val="00A23B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51B6E"/>
    <w:pPr>
      <w:keepNext/>
      <w:spacing w:before="240" w:after="120" w:line="240" w:lineRule="auto"/>
      <w:outlineLvl w:val="2"/>
    </w:pPr>
    <w:rPr>
      <w:rFonts w:ascii="Arial" w:eastAsia="Times New Roman" w:hAnsi="Arial" w:cs="Times New Roman"/>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B6E"/>
    <w:pPr>
      <w:autoSpaceDE w:val="0"/>
      <w:autoSpaceDN w:val="0"/>
      <w:adjustRightInd w:val="0"/>
      <w:spacing w:after="0" w:line="240" w:lineRule="auto"/>
    </w:pPr>
    <w:rPr>
      <w:rFonts w:ascii="Arial" w:eastAsia="Calibri" w:hAnsi="Arial" w:cs="Arial"/>
      <w:color w:val="000000"/>
      <w:sz w:val="24"/>
      <w:szCs w:val="24"/>
      <w:lang w:val="fr-FR"/>
    </w:rPr>
  </w:style>
  <w:style w:type="character" w:customStyle="1" w:styleId="Heading3Char">
    <w:name w:val="Heading 3 Char"/>
    <w:basedOn w:val="DefaultParagraphFont"/>
    <w:link w:val="Heading3"/>
    <w:rsid w:val="00851B6E"/>
    <w:rPr>
      <w:rFonts w:ascii="Arial" w:eastAsia="Times New Roman" w:hAnsi="Arial" w:cs="Times New Roman"/>
      <w:b/>
      <w:bCs/>
      <w:szCs w:val="26"/>
      <w:lang w:val="en-US"/>
    </w:rPr>
  </w:style>
  <w:style w:type="paragraph" w:customStyle="1" w:styleId="Body">
    <w:name w:val="Body"/>
    <w:basedOn w:val="Normal"/>
    <w:link w:val="BodyChar"/>
    <w:qFormat/>
    <w:rsid w:val="00851B6E"/>
    <w:pPr>
      <w:numPr>
        <w:numId w:val="3"/>
      </w:numPr>
      <w:tabs>
        <w:tab w:val="clear" w:pos="360"/>
      </w:tabs>
      <w:spacing w:before="120" w:after="120" w:line="240" w:lineRule="auto"/>
      <w:ind w:left="0" w:firstLine="0"/>
    </w:pPr>
    <w:rPr>
      <w:rFonts w:ascii="Arial" w:eastAsia="Times New Roman" w:hAnsi="Arial" w:cs="Times New Roman"/>
      <w:szCs w:val="20"/>
      <w:lang w:val="en-US"/>
    </w:rPr>
  </w:style>
  <w:style w:type="character" w:customStyle="1" w:styleId="BodyChar">
    <w:name w:val="Body Char"/>
    <w:link w:val="Body"/>
    <w:rsid w:val="00851B6E"/>
    <w:rPr>
      <w:rFonts w:ascii="Arial" w:eastAsia="Times New Roman" w:hAnsi="Arial" w:cs="Times New Roman"/>
      <w:szCs w:val="20"/>
      <w:lang w:val="en-US"/>
    </w:rPr>
  </w:style>
  <w:style w:type="paragraph" w:styleId="NormalWeb">
    <w:name w:val="Normal (Web)"/>
    <w:basedOn w:val="Normal"/>
    <w:uiPriority w:val="99"/>
    <w:unhideWhenUsed/>
    <w:rsid w:val="00851B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GALLReferences">
    <w:name w:val="IGALL References"/>
    <w:basedOn w:val="Normal"/>
    <w:rsid w:val="00D0163D"/>
    <w:pPr>
      <w:numPr>
        <w:numId w:val="4"/>
      </w:numPr>
      <w:spacing w:after="200" w:line="276" w:lineRule="auto"/>
    </w:pPr>
    <w:rPr>
      <w:rFonts w:ascii="Calibri" w:eastAsia="Calibri" w:hAnsi="Calibri" w:cs="Times New Roman"/>
      <w:lang w:val="fr-FR"/>
    </w:rPr>
  </w:style>
  <w:style w:type="paragraph" w:styleId="ListParagraph">
    <w:name w:val="List Paragraph"/>
    <w:basedOn w:val="Normal"/>
    <w:uiPriority w:val="34"/>
    <w:qFormat/>
    <w:rsid w:val="00EA294E"/>
    <w:pPr>
      <w:ind w:left="720"/>
      <w:contextualSpacing/>
    </w:pPr>
  </w:style>
  <w:style w:type="character" w:customStyle="1" w:styleId="fontstyle01">
    <w:name w:val="fontstyle01"/>
    <w:basedOn w:val="DefaultParagraphFont"/>
    <w:rsid w:val="005B093E"/>
    <w:rPr>
      <w:rFonts w:ascii="TimesNewRoman" w:hAnsi="TimesNewRoman" w:hint="default"/>
      <w:b w:val="0"/>
      <w:bCs w:val="0"/>
      <w:i w:val="0"/>
      <w:iCs w:val="0"/>
      <w:color w:val="000000"/>
      <w:sz w:val="22"/>
      <w:szCs w:val="22"/>
    </w:rPr>
  </w:style>
  <w:style w:type="paragraph" w:customStyle="1" w:styleId="References">
    <w:name w:val="References"/>
    <w:basedOn w:val="Normal"/>
    <w:uiPriority w:val="99"/>
    <w:qFormat/>
    <w:rsid w:val="00C12B3E"/>
    <w:pPr>
      <w:spacing w:before="120" w:after="120" w:line="240" w:lineRule="auto"/>
      <w:ind w:left="346" w:hanging="346"/>
      <w:jc w:val="both"/>
    </w:pPr>
    <w:rPr>
      <w:rFonts w:ascii="Arial" w:eastAsia="SimSun" w:hAnsi="Arial" w:cs="Arial"/>
      <w:szCs w:val="20"/>
      <w:lang w:val="en-US"/>
    </w:rPr>
  </w:style>
  <w:style w:type="character" w:customStyle="1" w:styleId="Heading2Char">
    <w:name w:val="Heading 2 Char"/>
    <w:basedOn w:val="DefaultParagraphFont"/>
    <w:link w:val="Heading2"/>
    <w:uiPriority w:val="9"/>
    <w:semiHidden/>
    <w:rsid w:val="00A23BE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0093"/>
    <w:pPr>
      <w:spacing w:after="0" w:line="240" w:lineRule="auto"/>
    </w:pPr>
  </w:style>
  <w:style w:type="paragraph" w:styleId="BalloonText">
    <w:name w:val="Balloon Text"/>
    <w:basedOn w:val="Normal"/>
    <w:link w:val="BalloonTextChar"/>
    <w:uiPriority w:val="99"/>
    <w:semiHidden/>
    <w:unhideWhenUsed/>
    <w:rsid w:val="006F5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29"/>
    <w:rPr>
      <w:rFonts w:ascii="Segoe UI" w:hAnsi="Segoe UI" w:cs="Segoe UI"/>
      <w:sz w:val="18"/>
      <w:szCs w:val="18"/>
    </w:rPr>
  </w:style>
  <w:style w:type="character" w:styleId="CommentReference">
    <w:name w:val="annotation reference"/>
    <w:basedOn w:val="DefaultParagraphFont"/>
    <w:uiPriority w:val="99"/>
    <w:semiHidden/>
    <w:unhideWhenUsed/>
    <w:rsid w:val="00CE53A3"/>
    <w:rPr>
      <w:sz w:val="16"/>
      <w:szCs w:val="16"/>
    </w:rPr>
  </w:style>
  <w:style w:type="paragraph" w:styleId="CommentText">
    <w:name w:val="annotation text"/>
    <w:basedOn w:val="Normal"/>
    <w:link w:val="CommentTextChar"/>
    <w:uiPriority w:val="99"/>
    <w:unhideWhenUsed/>
    <w:rsid w:val="00CE53A3"/>
    <w:pPr>
      <w:spacing w:line="240" w:lineRule="auto"/>
    </w:pPr>
    <w:rPr>
      <w:sz w:val="20"/>
      <w:szCs w:val="20"/>
    </w:rPr>
  </w:style>
  <w:style w:type="character" w:customStyle="1" w:styleId="CommentTextChar">
    <w:name w:val="Comment Text Char"/>
    <w:basedOn w:val="DefaultParagraphFont"/>
    <w:link w:val="CommentText"/>
    <w:uiPriority w:val="99"/>
    <w:rsid w:val="00CE53A3"/>
    <w:rPr>
      <w:sz w:val="20"/>
      <w:szCs w:val="20"/>
    </w:rPr>
  </w:style>
  <w:style w:type="paragraph" w:styleId="CommentSubject">
    <w:name w:val="annotation subject"/>
    <w:basedOn w:val="CommentText"/>
    <w:next w:val="CommentText"/>
    <w:link w:val="CommentSubjectChar"/>
    <w:uiPriority w:val="99"/>
    <w:semiHidden/>
    <w:unhideWhenUsed/>
    <w:rsid w:val="00CE53A3"/>
    <w:rPr>
      <w:b/>
      <w:bCs/>
    </w:rPr>
  </w:style>
  <w:style w:type="character" w:customStyle="1" w:styleId="CommentSubjectChar">
    <w:name w:val="Comment Subject Char"/>
    <w:basedOn w:val="CommentTextChar"/>
    <w:link w:val="CommentSubject"/>
    <w:uiPriority w:val="99"/>
    <w:semiHidden/>
    <w:rsid w:val="00CE53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42129">
      <w:bodyDiv w:val="1"/>
      <w:marLeft w:val="0"/>
      <w:marRight w:val="0"/>
      <w:marTop w:val="0"/>
      <w:marBottom w:val="0"/>
      <w:divBdr>
        <w:top w:val="none" w:sz="0" w:space="0" w:color="auto"/>
        <w:left w:val="none" w:sz="0" w:space="0" w:color="auto"/>
        <w:bottom w:val="none" w:sz="0" w:space="0" w:color="auto"/>
        <w:right w:val="none" w:sz="0" w:space="0" w:color="auto"/>
      </w:divBdr>
      <w:divsChild>
        <w:div w:id="205484503">
          <w:marLeft w:val="547"/>
          <w:marRight w:val="0"/>
          <w:marTop w:val="82"/>
          <w:marBottom w:val="160"/>
          <w:divBdr>
            <w:top w:val="none" w:sz="0" w:space="0" w:color="auto"/>
            <w:left w:val="none" w:sz="0" w:space="0" w:color="auto"/>
            <w:bottom w:val="none" w:sz="0" w:space="0" w:color="auto"/>
            <w:right w:val="none" w:sz="0" w:space="0" w:color="auto"/>
          </w:divBdr>
        </w:div>
        <w:div w:id="748963078">
          <w:marLeft w:val="547"/>
          <w:marRight w:val="0"/>
          <w:marTop w:val="82"/>
          <w:marBottom w:val="160"/>
          <w:divBdr>
            <w:top w:val="none" w:sz="0" w:space="0" w:color="auto"/>
            <w:left w:val="none" w:sz="0" w:space="0" w:color="auto"/>
            <w:bottom w:val="none" w:sz="0" w:space="0" w:color="auto"/>
            <w:right w:val="none" w:sz="0" w:space="0" w:color="auto"/>
          </w:divBdr>
        </w:div>
      </w:divsChild>
    </w:div>
    <w:div w:id="76449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86524-A3F8-4441-8F9C-8556E28447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E7916-1A3A-4321-9723-E43F0F665B6F}">
  <ds:schemaRefs>
    <ds:schemaRef ds:uri="http://schemas.openxmlformats.org/officeDocument/2006/bibliography"/>
  </ds:schemaRefs>
</ds:datastoreItem>
</file>

<file path=customXml/itemProps3.xml><?xml version="1.0" encoding="utf-8"?>
<ds:datastoreItem xmlns:ds="http://schemas.openxmlformats.org/officeDocument/2006/customXml" ds:itemID="{1724FF8E-73ED-4D14-A6FC-27B09B147459}">
  <ds:schemaRefs>
    <ds:schemaRef ds:uri="http://schemas.microsoft.com/sharepoint/v3/contenttype/forms"/>
  </ds:schemaRefs>
</ds:datastoreItem>
</file>

<file path=customXml/itemProps4.xml><?xml version="1.0" encoding="utf-8"?>
<ds:datastoreItem xmlns:ds="http://schemas.openxmlformats.org/officeDocument/2006/customXml" ds:itemID="{D73C81AA-0267-41A4-A620-87088B8D5392}"/>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Normal.dotm</Template>
  <Pages>7</Pages>
  <Words>2880</Words>
  <Characters>16422</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