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4E97C" w14:textId="74929B64" w:rsidR="002E74B3" w:rsidRPr="00E6392C" w:rsidRDefault="00511C15" w:rsidP="00D365B9">
      <w:pPr>
        <w:pStyle w:val="Heading3"/>
        <w:tabs>
          <w:tab w:val="left" w:pos="1134"/>
        </w:tabs>
        <w:spacing w:before="120"/>
        <w:rPr>
          <w:rFonts w:ascii="Times New Roman" w:hAnsi="Times New Roman"/>
          <w:caps/>
          <w:sz w:val="24"/>
          <w:szCs w:val="24"/>
          <w:lang w:val="fr-CH"/>
        </w:rPr>
      </w:pPr>
      <w:r w:rsidRPr="00E6392C">
        <w:rPr>
          <w:rFonts w:ascii="Times New Roman" w:hAnsi="Times New Roman"/>
          <w:caps/>
          <w:sz w:val="24"/>
          <w:szCs w:val="24"/>
          <w:lang w:val="fr-CH"/>
        </w:rPr>
        <w:t>AMP</w:t>
      </w:r>
      <w:r w:rsidR="00300854" w:rsidRPr="00E6392C">
        <w:rPr>
          <w:rFonts w:ascii="Times New Roman" w:hAnsi="Times New Roman"/>
          <w:caps/>
          <w:sz w:val="24"/>
          <w:szCs w:val="24"/>
          <w:lang w:val="fr-CH"/>
        </w:rPr>
        <w:t xml:space="preserve"> </w:t>
      </w:r>
      <w:r w:rsidR="00AB4191" w:rsidRPr="00E6392C">
        <w:rPr>
          <w:rFonts w:ascii="Times New Roman" w:hAnsi="Times New Roman"/>
          <w:caps/>
          <w:sz w:val="24"/>
          <w:szCs w:val="24"/>
          <w:lang w:val="fr-CH"/>
        </w:rPr>
        <w:t>154</w:t>
      </w:r>
      <w:r w:rsidR="00300854" w:rsidRPr="00E6392C">
        <w:rPr>
          <w:rFonts w:ascii="Times New Roman" w:hAnsi="Times New Roman"/>
          <w:caps/>
          <w:sz w:val="24"/>
          <w:szCs w:val="24"/>
          <w:lang w:val="fr-CH"/>
        </w:rPr>
        <w:tab/>
      </w:r>
      <w:r w:rsidR="00C13C64" w:rsidRPr="00E6392C">
        <w:rPr>
          <w:rFonts w:ascii="Times New Roman" w:hAnsi="Times New Roman"/>
          <w:caps/>
          <w:sz w:val="24"/>
          <w:szCs w:val="24"/>
          <w:lang w:val="fr-CH"/>
        </w:rPr>
        <w:t xml:space="preserve">PWR </w:t>
      </w:r>
      <w:r w:rsidR="00C460D6" w:rsidRPr="00E6392C">
        <w:rPr>
          <w:rFonts w:ascii="Times New Roman" w:hAnsi="Times New Roman"/>
          <w:caps/>
          <w:sz w:val="24"/>
          <w:szCs w:val="24"/>
          <w:lang w:val="fr-CH"/>
        </w:rPr>
        <w:t>Pressurizer</w:t>
      </w:r>
      <w:r w:rsidR="009C1E8C" w:rsidRPr="00E6392C">
        <w:rPr>
          <w:rFonts w:ascii="Times New Roman" w:hAnsi="Times New Roman"/>
          <w:sz w:val="24"/>
          <w:szCs w:val="24"/>
          <w:lang w:val="fr-CH"/>
        </w:rPr>
        <w:t xml:space="preserve"> </w:t>
      </w:r>
      <w:r w:rsidR="009C1E8C" w:rsidRPr="00E6392C">
        <w:rPr>
          <w:rFonts w:ascii="Times New Roman" w:hAnsi="Times New Roman"/>
          <w:caps/>
          <w:sz w:val="24"/>
          <w:szCs w:val="24"/>
          <w:lang w:val="fr-CH"/>
        </w:rPr>
        <w:t xml:space="preserve">(VERSION </w:t>
      </w:r>
      <w:r w:rsidR="00F83E05" w:rsidRPr="00E6392C">
        <w:rPr>
          <w:rFonts w:ascii="Times New Roman" w:hAnsi="Times New Roman"/>
          <w:caps/>
          <w:sz w:val="24"/>
          <w:szCs w:val="24"/>
          <w:lang w:val="fr-CH"/>
        </w:rPr>
        <w:t>20</w:t>
      </w:r>
      <w:r w:rsidR="003A6686">
        <w:rPr>
          <w:rFonts w:ascii="Times New Roman" w:hAnsi="Times New Roman"/>
          <w:caps/>
          <w:sz w:val="24"/>
          <w:szCs w:val="24"/>
          <w:lang w:val="fr-CH"/>
        </w:rPr>
        <w:t>20</w:t>
      </w:r>
      <w:r w:rsidR="009C1E8C" w:rsidRPr="00E6392C">
        <w:rPr>
          <w:rFonts w:ascii="Times New Roman" w:hAnsi="Times New Roman"/>
          <w:caps/>
          <w:sz w:val="24"/>
          <w:szCs w:val="24"/>
          <w:lang w:val="fr-CH"/>
        </w:rPr>
        <w:t xml:space="preserve">) </w:t>
      </w:r>
      <w:r w:rsidR="009C1E8C" w:rsidRPr="00E6392C">
        <w:rPr>
          <w:rFonts w:ascii="Times New Roman" w:hAnsi="Times New Roman"/>
          <w:sz w:val="24"/>
          <w:szCs w:val="24"/>
          <w:lang w:val="fr-CH"/>
        </w:rPr>
        <w:t xml:space="preserve"> </w:t>
      </w:r>
      <w:r w:rsidR="00705104" w:rsidRPr="00E6392C">
        <w:rPr>
          <w:rFonts w:ascii="Times New Roman" w:hAnsi="Times New Roman"/>
          <w:caps/>
          <w:sz w:val="24"/>
          <w:szCs w:val="24"/>
          <w:lang w:val="fr-CH"/>
        </w:rPr>
        <w:t xml:space="preserve"> </w:t>
      </w:r>
    </w:p>
    <w:p w14:paraId="0051D1D5" w14:textId="77777777" w:rsidR="002E74B3" w:rsidRPr="00E6392C" w:rsidRDefault="002E74B3" w:rsidP="00D365B9">
      <w:pPr>
        <w:pStyle w:val="Heading3"/>
        <w:spacing w:before="120"/>
        <w:rPr>
          <w:rFonts w:ascii="Times New Roman" w:hAnsi="Times New Roman"/>
          <w:sz w:val="24"/>
          <w:szCs w:val="24"/>
          <w:lang w:val="fr-CH"/>
        </w:rPr>
      </w:pPr>
      <w:r w:rsidRPr="00E6392C">
        <w:rPr>
          <w:rFonts w:ascii="Times New Roman" w:hAnsi="Times New Roman"/>
          <w:sz w:val="24"/>
          <w:szCs w:val="24"/>
          <w:lang w:val="fr-CH"/>
        </w:rPr>
        <w:t>Program</w:t>
      </w:r>
      <w:r w:rsidR="00226BB4" w:rsidRPr="00E6392C">
        <w:rPr>
          <w:rFonts w:ascii="Times New Roman" w:hAnsi="Times New Roman"/>
          <w:sz w:val="24"/>
          <w:szCs w:val="24"/>
          <w:lang w:val="fr-CH"/>
        </w:rPr>
        <w:t>me</w:t>
      </w:r>
      <w:r w:rsidRPr="00E6392C">
        <w:rPr>
          <w:rFonts w:ascii="Times New Roman" w:hAnsi="Times New Roman"/>
          <w:sz w:val="24"/>
          <w:szCs w:val="24"/>
          <w:lang w:val="fr-CH"/>
        </w:rPr>
        <w:t xml:space="preserve"> Description</w:t>
      </w:r>
    </w:p>
    <w:p w14:paraId="5DEB9299" w14:textId="77777777" w:rsidR="006D0B82" w:rsidRPr="002B144A" w:rsidRDefault="00BD769C"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The a</w:t>
      </w:r>
      <w:r w:rsidR="006D0B82" w:rsidRPr="002B144A">
        <w:rPr>
          <w:rFonts w:ascii="Times New Roman" w:hAnsi="Times New Roman"/>
          <w:sz w:val="24"/>
          <w:szCs w:val="24"/>
          <w:lang w:val="en-GB"/>
        </w:rPr>
        <w:t>pproach</w:t>
      </w:r>
      <w:r w:rsidRPr="002B144A">
        <w:rPr>
          <w:rFonts w:ascii="Times New Roman" w:hAnsi="Times New Roman"/>
          <w:sz w:val="24"/>
          <w:szCs w:val="24"/>
          <w:lang w:val="en-GB"/>
        </w:rPr>
        <w:t xml:space="preserve"> used by</w:t>
      </w:r>
      <w:r w:rsidR="006D0B82" w:rsidRPr="002B144A">
        <w:rPr>
          <w:rFonts w:ascii="Times New Roman" w:hAnsi="Times New Roman"/>
          <w:sz w:val="24"/>
          <w:szCs w:val="24"/>
          <w:lang w:val="en-GB"/>
        </w:rPr>
        <w:t xml:space="preserve"> some operators (e.g. </w:t>
      </w:r>
      <w:r w:rsidR="006E08F3" w:rsidRPr="002B144A">
        <w:rPr>
          <w:rFonts w:ascii="Times New Roman" w:hAnsi="Times New Roman"/>
          <w:sz w:val="24"/>
          <w:szCs w:val="24"/>
          <w:lang w:val="en-GB"/>
        </w:rPr>
        <w:t>WW</w:t>
      </w:r>
      <w:r w:rsidR="006D0B82" w:rsidRPr="002B144A">
        <w:rPr>
          <w:rFonts w:ascii="Times New Roman" w:hAnsi="Times New Roman"/>
          <w:sz w:val="24"/>
          <w:szCs w:val="24"/>
          <w:lang w:val="en-GB"/>
        </w:rPr>
        <w:t xml:space="preserve">ER, CANDU) to AMPs development is focused on components (such </w:t>
      </w:r>
      <w:r w:rsidR="00E74D1A">
        <w:rPr>
          <w:rFonts w:ascii="Times New Roman" w:hAnsi="Times New Roman"/>
          <w:sz w:val="24"/>
          <w:szCs w:val="24"/>
          <w:lang w:val="en-GB"/>
        </w:rPr>
        <w:t xml:space="preserve">as </w:t>
      </w:r>
      <w:r w:rsidR="000D12A3" w:rsidRPr="002B144A">
        <w:rPr>
          <w:rFonts w:ascii="Times New Roman" w:hAnsi="Times New Roman"/>
          <w:sz w:val="24"/>
          <w:szCs w:val="24"/>
          <w:lang w:val="en-GB"/>
        </w:rPr>
        <w:t xml:space="preserve">RCP, </w:t>
      </w:r>
      <w:r w:rsidR="006D0B82" w:rsidRPr="002B144A">
        <w:rPr>
          <w:rFonts w:ascii="Times New Roman" w:hAnsi="Times New Roman"/>
          <w:sz w:val="24"/>
          <w:szCs w:val="24"/>
          <w:lang w:val="en-GB"/>
        </w:rPr>
        <w:t>RPV, SG, Pressurizer, etc.)</w:t>
      </w:r>
      <w:r w:rsidRPr="002B144A">
        <w:rPr>
          <w:rFonts w:ascii="Times New Roman" w:hAnsi="Times New Roman"/>
          <w:sz w:val="24"/>
          <w:szCs w:val="24"/>
          <w:lang w:val="en-GB"/>
        </w:rPr>
        <w:t xml:space="preserve"> and</w:t>
      </w:r>
      <w:r w:rsidR="006D0B82" w:rsidRPr="002B144A">
        <w:rPr>
          <w:rFonts w:ascii="Times New Roman" w:hAnsi="Times New Roman"/>
          <w:sz w:val="24"/>
          <w:szCs w:val="24"/>
          <w:lang w:val="en-GB"/>
        </w:rPr>
        <w:t xml:space="preserve"> not on individual degradation mechanisms. These “umbrella type” program</w:t>
      </w:r>
      <w:r w:rsidR="006E08F3" w:rsidRPr="002B144A">
        <w:rPr>
          <w:rFonts w:ascii="Times New Roman" w:hAnsi="Times New Roman"/>
          <w:sz w:val="24"/>
          <w:szCs w:val="24"/>
          <w:lang w:val="en-GB"/>
        </w:rPr>
        <w:t>me</w:t>
      </w:r>
      <w:r w:rsidR="006D0B82" w:rsidRPr="002B144A">
        <w:rPr>
          <w:rFonts w:ascii="Times New Roman" w:hAnsi="Times New Roman"/>
          <w:sz w:val="24"/>
          <w:szCs w:val="24"/>
          <w:lang w:val="en-GB"/>
        </w:rPr>
        <w:t>s are based on understanding of all degradation mechanisms relating to the specific component and describing all activities necessary to manage ageing. The main advantage of such an approach is knowledge of the overall state of the components.</w:t>
      </w:r>
    </w:p>
    <w:p w14:paraId="3163D698" w14:textId="77777777" w:rsidR="00166D33" w:rsidRPr="002B144A" w:rsidRDefault="006D0B82"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This ageing management programme </w:t>
      </w:r>
      <w:r w:rsidR="00507790" w:rsidRPr="002B144A">
        <w:rPr>
          <w:rFonts w:ascii="Times New Roman" w:hAnsi="Times New Roman"/>
          <w:sz w:val="24"/>
          <w:szCs w:val="24"/>
          <w:lang w:val="en-GB"/>
        </w:rPr>
        <w:t xml:space="preserve">is a </w:t>
      </w:r>
      <w:r w:rsidR="005D3CFE" w:rsidRPr="002B144A">
        <w:rPr>
          <w:rFonts w:ascii="Times New Roman" w:hAnsi="Times New Roman"/>
          <w:sz w:val="24"/>
          <w:szCs w:val="24"/>
          <w:lang w:val="en-GB"/>
        </w:rPr>
        <w:t xml:space="preserve">component-specific AMP for </w:t>
      </w:r>
      <w:r w:rsidR="00507790" w:rsidRPr="002B144A">
        <w:rPr>
          <w:rFonts w:ascii="Times New Roman" w:hAnsi="Times New Roman"/>
          <w:sz w:val="24"/>
          <w:szCs w:val="24"/>
          <w:lang w:val="en-GB"/>
        </w:rPr>
        <w:t xml:space="preserve">the </w:t>
      </w:r>
      <w:r w:rsidR="00C460D6" w:rsidRPr="002B144A">
        <w:rPr>
          <w:rFonts w:ascii="Times New Roman" w:hAnsi="Times New Roman"/>
          <w:sz w:val="24"/>
          <w:szCs w:val="24"/>
          <w:lang w:val="en-GB"/>
        </w:rPr>
        <w:t>pressurizer</w:t>
      </w:r>
      <w:r w:rsidR="00BD769C" w:rsidRPr="002B144A">
        <w:rPr>
          <w:rFonts w:ascii="Times New Roman" w:hAnsi="Times New Roman"/>
          <w:sz w:val="24"/>
          <w:szCs w:val="24"/>
          <w:lang w:val="en-GB"/>
        </w:rPr>
        <w:t>,</w:t>
      </w:r>
      <w:r w:rsidR="00507790" w:rsidRPr="002B144A">
        <w:rPr>
          <w:rFonts w:ascii="Times New Roman" w:hAnsi="Times New Roman"/>
          <w:sz w:val="24"/>
          <w:szCs w:val="24"/>
          <w:lang w:val="en-GB"/>
        </w:rPr>
        <w:t xml:space="preserve"> that covers multiple degradation mechanisms the </w:t>
      </w:r>
      <w:r w:rsidR="00C460D6" w:rsidRPr="002B144A">
        <w:rPr>
          <w:rFonts w:ascii="Times New Roman" w:hAnsi="Times New Roman"/>
          <w:sz w:val="24"/>
          <w:szCs w:val="24"/>
          <w:lang w:val="en-GB"/>
        </w:rPr>
        <w:t>pressurizer</w:t>
      </w:r>
      <w:r w:rsidR="00507790" w:rsidRPr="002B144A">
        <w:rPr>
          <w:rFonts w:ascii="Times New Roman" w:hAnsi="Times New Roman"/>
          <w:sz w:val="24"/>
          <w:szCs w:val="24"/>
          <w:lang w:val="en-GB"/>
        </w:rPr>
        <w:t xml:space="preserve"> may be subjected to and the activities necessary to manage the ageing mechanisms</w:t>
      </w:r>
      <w:r w:rsidR="00BD769C" w:rsidRPr="002B144A">
        <w:rPr>
          <w:rFonts w:ascii="Times New Roman" w:hAnsi="Times New Roman"/>
          <w:sz w:val="24"/>
          <w:szCs w:val="24"/>
          <w:lang w:val="en-GB"/>
        </w:rPr>
        <w:t>.</w:t>
      </w:r>
      <w:r w:rsidRPr="002B144A">
        <w:rPr>
          <w:rFonts w:ascii="Times New Roman" w:hAnsi="Times New Roman"/>
          <w:sz w:val="24"/>
          <w:szCs w:val="24"/>
          <w:lang w:val="en-GB"/>
        </w:rPr>
        <w:t xml:space="preserve"> </w:t>
      </w:r>
      <w:r w:rsidR="00507790" w:rsidRPr="002B144A">
        <w:rPr>
          <w:rFonts w:ascii="Times New Roman" w:hAnsi="Times New Roman"/>
          <w:sz w:val="24"/>
          <w:szCs w:val="24"/>
          <w:lang w:val="en-GB"/>
        </w:rPr>
        <w:t xml:space="preserve">As such, this AMP refers to </w:t>
      </w:r>
      <w:r w:rsidR="00166D33" w:rsidRPr="002B144A">
        <w:rPr>
          <w:rFonts w:ascii="Times New Roman" w:hAnsi="Times New Roman"/>
          <w:sz w:val="24"/>
          <w:szCs w:val="24"/>
          <w:lang w:val="en-GB"/>
        </w:rPr>
        <w:t>other degradation</w:t>
      </w:r>
      <w:r w:rsidR="00841FBD" w:rsidRPr="002B144A">
        <w:rPr>
          <w:rFonts w:ascii="Times New Roman" w:hAnsi="Times New Roman"/>
          <w:sz w:val="24"/>
          <w:szCs w:val="24"/>
          <w:lang w:val="en-GB"/>
        </w:rPr>
        <w:t>-</w:t>
      </w:r>
      <w:r w:rsidR="00166D33" w:rsidRPr="002B144A">
        <w:rPr>
          <w:rFonts w:ascii="Times New Roman" w:hAnsi="Times New Roman"/>
          <w:sz w:val="24"/>
          <w:szCs w:val="24"/>
          <w:lang w:val="en-GB"/>
        </w:rPr>
        <w:t xml:space="preserve">specific </w:t>
      </w:r>
      <w:r w:rsidR="007D12EA" w:rsidRPr="002B144A">
        <w:rPr>
          <w:rFonts w:ascii="Times New Roman" w:hAnsi="Times New Roman"/>
          <w:sz w:val="24"/>
          <w:szCs w:val="24"/>
          <w:lang w:val="en-GB"/>
        </w:rPr>
        <w:t xml:space="preserve">and/or monitoring type </w:t>
      </w:r>
      <w:r w:rsidR="00507790" w:rsidRPr="002B144A">
        <w:rPr>
          <w:rFonts w:ascii="Times New Roman" w:hAnsi="Times New Roman"/>
          <w:sz w:val="24"/>
          <w:szCs w:val="24"/>
          <w:lang w:val="en-GB"/>
        </w:rPr>
        <w:t xml:space="preserve">of </w:t>
      </w:r>
      <w:r w:rsidR="00166D33" w:rsidRPr="002B144A">
        <w:rPr>
          <w:rFonts w:ascii="Times New Roman" w:hAnsi="Times New Roman"/>
          <w:sz w:val="24"/>
          <w:szCs w:val="24"/>
          <w:lang w:val="en-GB"/>
        </w:rPr>
        <w:t xml:space="preserve">AMPs </w:t>
      </w:r>
      <w:r w:rsidR="00507790" w:rsidRPr="002B144A">
        <w:rPr>
          <w:rFonts w:ascii="Times New Roman" w:hAnsi="Times New Roman"/>
          <w:sz w:val="24"/>
          <w:szCs w:val="24"/>
          <w:lang w:val="en-GB"/>
        </w:rPr>
        <w:t xml:space="preserve">that deal with </w:t>
      </w:r>
      <w:proofErr w:type="gramStart"/>
      <w:r w:rsidR="00166D33" w:rsidRPr="002B144A">
        <w:rPr>
          <w:rFonts w:ascii="Times New Roman" w:hAnsi="Times New Roman"/>
          <w:sz w:val="24"/>
          <w:szCs w:val="24"/>
          <w:lang w:val="en-GB"/>
        </w:rPr>
        <w:t>particular degradation</w:t>
      </w:r>
      <w:proofErr w:type="gramEnd"/>
      <w:r w:rsidR="00166D33" w:rsidRPr="002B144A">
        <w:rPr>
          <w:rFonts w:ascii="Times New Roman" w:hAnsi="Times New Roman"/>
          <w:sz w:val="24"/>
          <w:szCs w:val="24"/>
          <w:lang w:val="en-GB"/>
        </w:rPr>
        <w:t xml:space="preserve"> mechanisms and </w:t>
      </w:r>
      <w:r w:rsidR="00031F79" w:rsidRPr="002B144A">
        <w:rPr>
          <w:rFonts w:ascii="Times New Roman" w:hAnsi="Times New Roman"/>
          <w:sz w:val="24"/>
          <w:szCs w:val="24"/>
          <w:lang w:val="en-GB"/>
        </w:rPr>
        <w:t>ageing</w:t>
      </w:r>
      <w:r w:rsidR="00166D33" w:rsidRPr="002B144A">
        <w:rPr>
          <w:rFonts w:ascii="Times New Roman" w:hAnsi="Times New Roman"/>
          <w:sz w:val="24"/>
          <w:szCs w:val="24"/>
          <w:lang w:val="en-GB"/>
        </w:rPr>
        <w:t xml:space="preserve"> effects</w:t>
      </w:r>
      <w:r w:rsidR="00507790" w:rsidRPr="002B144A">
        <w:rPr>
          <w:rFonts w:ascii="Times New Roman" w:hAnsi="Times New Roman"/>
          <w:sz w:val="24"/>
          <w:szCs w:val="24"/>
          <w:lang w:val="en-GB"/>
        </w:rPr>
        <w:t>.</w:t>
      </w:r>
    </w:p>
    <w:p w14:paraId="5E2C535E" w14:textId="77777777" w:rsidR="005D3CFE" w:rsidRDefault="00BD769C"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The </w:t>
      </w:r>
      <w:r w:rsidR="00C323C4">
        <w:rPr>
          <w:rFonts w:ascii="Times New Roman" w:hAnsi="Times New Roman"/>
          <w:sz w:val="24"/>
          <w:szCs w:val="24"/>
          <w:lang w:val="en-GB"/>
        </w:rPr>
        <w:t xml:space="preserve">pressure boundary of the </w:t>
      </w:r>
      <w:r w:rsidR="00C460D6" w:rsidRPr="002B144A">
        <w:rPr>
          <w:rFonts w:ascii="Times New Roman" w:hAnsi="Times New Roman"/>
          <w:sz w:val="24"/>
          <w:szCs w:val="24"/>
          <w:lang w:val="en-GB"/>
        </w:rPr>
        <w:t xml:space="preserve">pressurizer </w:t>
      </w:r>
      <w:r w:rsidR="005D3CFE" w:rsidRPr="002B144A">
        <w:rPr>
          <w:rFonts w:ascii="Times New Roman" w:hAnsi="Times New Roman"/>
          <w:sz w:val="24"/>
          <w:szCs w:val="24"/>
          <w:lang w:val="en-GB"/>
        </w:rPr>
        <w:t>is</w:t>
      </w:r>
      <w:r w:rsidRPr="002B144A">
        <w:rPr>
          <w:rFonts w:ascii="Times New Roman" w:hAnsi="Times New Roman"/>
          <w:sz w:val="24"/>
          <w:szCs w:val="24"/>
          <w:lang w:val="en-GB"/>
        </w:rPr>
        <w:t xml:space="preserve"> </w:t>
      </w:r>
      <w:r w:rsidR="005D3CFE" w:rsidRPr="002B144A">
        <w:rPr>
          <w:rFonts w:ascii="Times New Roman" w:hAnsi="Times New Roman"/>
          <w:sz w:val="24"/>
          <w:szCs w:val="24"/>
          <w:lang w:val="en-GB"/>
        </w:rPr>
        <w:t>safety class 1</w:t>
      </w:r>
      <w:r w:rsidR="00B04665">
        <w:rPr>
          <w:rFonts w:ascii="Times New Roman" w:hAnsi="Times New Roman"/>
          <w:sz w:val="24"/>
          <w:szCs w:val="24"/>
          <w:lang w:val="en-GB"/>
        </w:rPr>
        <w:t xml:space="preserve"> component therefore </w:t>
      </w:r>
      <w:r w:rsidR="00C460D6" w:rsidRPr="002B144A">
        <w:rPr>
          <w:rFonts w:ascii="Times New Roman" w:hAnsi="Times New Roman"/>
          <w:sz w:val="24"/>
          <w:szCs w:val="24"/>
          <w:lang w:val="en-GB"/>
        </w:rPr>
        <w:t xml:space="preserve">it is </w:t>
      </w:r>
      <w:r w:rsidR="005D3CFE" w:rsidRPr="002B144A">
        <w:rPr>
          <w:rFonts w:ascii="Times New Roman" w:hAnsi="Times New Roman"/>
          <w:sz w:val="24"/>
          <w:szCs w:val="24"/>
          <w:lang w:val="en-GB"/>
        </w:rPr>
        <w:t xml:space="preserve">included </w:t>
      </w:r>
      <w:r w:rsidR="00B35A8B" w:rsidRPr="002B144A">
        <w:rPr>
          <w:rFonts w:ascii="Times New Roman" w:hAnsi="Times New Roman"/>
          <w:sz w:val="24"/>
          <w:szCs w:val="24"/>
          <w:lang w:val="en-GB"/>
        </w:rPr>
        <w:t xml:space="preserve">in </w:t>
      </w:r>
      <w:r w:rsidR="005D3CFE" w:rsidRPr="002B144A">
        <w:rPr>
          <w:rFonts w:ascii="Times New Roman" w:hAnsi="Times New Roman"/>
          <w:sz w:val="24"/>
          <w:szCs w:val="24"/>
          <w:lang w:val="en-GB"/>
        </w:rPr>
        <w:t xml:space="preserve">the scope for LTO in accordance with the IAEA Safety Report </w:t>
      </w:r>
      <w:r w:rsidR="00E6465F">
        <w:rPr>
          <w:rFonts w:ascii="Times New Roman" w:hAnsi="Times New Roman"/>
          <w:sz w:val="24"/>
          <w:szCs w:val="24"/>
          <w:lang w:val="en-GB"/>
        </w:rPr>
        <w:t xml:space="preserve">Series </w:t>
      </w:r>
      <w:r w:rsidR="005D3CFE" w:rsidRPr="002B144A">
        <w:rPr>
          <w:rFonts w:ascii="Times New Roman" w:hAnsi="Times New Roman"/>
          <w:sz w:val="24"/>
          <w:szCs w:val="24"/>
          <w:lang w:val="en-GB"/>
        </w:rPr>
        <w:t>No. 57 [1].</w:t>
      </w:r>
    </w:p>
    <w:p w14:paraId="6587284B" w14:textId="77777777" w:rsidR="00300854" w:rsidRPr="002B144A" w:rsidRDefault="00300854" w:rsidP="00D365B9">
      <w:pPr>
        <w:pStyle w:val="Body"/>
        <w:tabs>
          <w:tab w:val="clear" w:pos="360"/>
        </w:tabs>
        <w:ind w:left="0" w:firstLine="0"/>
        <w:jc w:val="both"/>
        <w:rPr>
          <w:rFonts w:ascii="Times New Roman" w:hAnsi="Times New Roman"/>
          <w:sz w:val="24"/>
          <w:szCs w:val="24"/>
          <w:lang w:val="en-GB"/>
        </w:rPr>
      </w:pPr>
    </w:p>
    <w:p w14:paraId="0D21BBB6" w14:textId="77777777" w:rsidR="008A627E" w:rsidRPr="002B144A" w:rsidRDefault="008A627E" w:rsidP="00D365B9">
      <w:pPr>
        <w:pStyle w:val="Heading3"/>
        <w:spacing w:before="120"/>
        <w:rPr>
          <w:rFonts w:ascii="Times New Roman" w:hAnsi="Times New Roman"/>
          <w:sz w:val="24"/>
          <w:szCs w:val="24"/>
          <w:lang w:val="en-GB"/>
        </w:rPr>
      </w:pPr>
      <w:r w:rsidRPr="002B144A">
        <w:rPr>
          <w:rFonts w:ascii="Times New Roman" w:hAnsi="Times New Roman"/>
          <w:sz w:val="24"/>
          <w:szCs w:val="24"/>
          <w:lang w:val="en-GB"/>
        </w:rPr>
        <w:t>Evaluation and Technical Basis</w:t>
      </w:r>
    </w:p>
    <w:p w14:paraId="622AEF43" w14:textId="77777777" w:rsidR="008A627E" w:rsidRPr="00300854"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Scope of the ageing management programme based on understanding ageing</w:t>
      </w:r>
      <w:r w:rsidR="00DE0A26" w:rsidRPr="002B144A">
        <w:rPr>
          <w:rFonts w:ascii="Times New Roman" w:hAnsi="Times New Roman"/>
          <w:b/>
          <w:i/>
          <w:sz w:val="24"/>
          <w:szCs w:val="24"/>
          <w:lang w:val="en-GB"/>
        </w:rPr>
        <w:t>:</w:t>
      </w:r>
    </w:p>
    <w:p w14:paraId="2429B562" w14:textId="77777777" w:rsidR="002E74B3" w:rsidRPr="002B144A" w:rsidRDefault="002E74B3" w:rsidP="00D365B9">
      <w:pPr>
        <w:spacing w:before="120" w:after="120"/>
        <w:rPr>
          <w:rFonts w:ascii="Times New Roman" w:hAnsi="Times New Roman"/>
          <w:sz w:val="24"/>
          <w:szCs w:val="24"/>
          <w:lang w:val="en-GB"/>
        </w:rPr>
      </w:pPr>
      <w:r w:rsidRPr="002B144A">
        <w:rPr>
          <w:rFonts w:ascii="Times New Roman" w:hAnsi="Times New Roman"/>
          <w:sz w:val="24"/>
          <w:szCs w:val="24"/>
          <w:lang w:val="en-GB"/>
        </w:rPr>
        <w:t xml:space="preserve">The programme controls ageing of the </w:t>
      </w:r>
      <w:r w:rsidR="006A7C99" w:rsidRPr="002B144A">
        <w:rPr>
          <w:rFonts w:ascii="Times New Roman" w:hAnsi="Times New Roman"/>
          <w:sz w:val="24"/>
          <w:szCs w:val="24"/>
          <w:lang w:val="en-GB"/>
        </w:rPr>
        <w:t>pressurizers</w:t>
      </w:r>
      <w:r w:rsidR="00CE6683" w:rsidRPr="002B144A">
        <w:rPr>
          <w:rFonts w:ascii="Times New Roman" w:hAnsi="Times New Roman"/>
          <w:sz w:val="24"/>
          <w:szCs w:val="24"/>
          <w:lang w:val="en-GB"/>
        </w:rPr>
        <w:t xml:space="preserve">. </w:t>
      </w:r>
      <w:r w:rsidR="00925819" w:rsidRPr="002B144A">
        <w:rPr>
          <w:rFonts w:ascii="Times New Roman" w:hAnsi="Times New Roman"/>
          <w:sz w:val="24"/>
          <w:szCs w:val="24"/>
          <w:lang w:val="en-GB"/>
        </w:rPr>
        <w:t xml:space="preserve">The following ageing degradation mechanisms are </w:t>
      </w:r>
      <w:r w:rsidR="00B92176" w:rsidRPr="002B144A">
        <w:rPr>
          <w:rFonts w:ascii="Times New Roman" w:hAnsi="Times New Roman"/>
          <w:sz w:val="24"/>
          <w:szCs w:val="24"/>
          <w:lang w:val="en-GB"/>
        </w:rPr>
        <w:t xml:space="preserve">considered in </w:t>
      </w:r>
      <w:r w:rsidR="00925819" w:rsidRPr="002B144A">
        <w:rPr>
          <w:rFonts w:ascii="Times New Roman" w:hAnsi="Times New Roman"/>
          <w:sz w:val="24"/>
          <w:szCs w:val="24"/>
          <w:lang w:val="en-GB"/>
        </w:rPr>
        <w:t>this AMP</w:t>
      </w:r>
      <w:r w:rsidR="00E6392C">
        <w:rPr>
          <w:rFonts w:ascii="Times New Roman" w:hAnsi="Times New Roman"/>
          <w:sz w:val="24"/>
          <w:szCs w:val="24"/>
          <w:lang w:val="en-GB"/>
        </w:rPr>
        <w:t xml:space="preserve"> </w:t>
      </w:r>
      <w:r w:rsidR="00E6392C">
        <w:rPr>
          <w:rFonts w:ascii="Times New Roman" w:hAnsi="Times New Roman"/>
          <w:sz w:val="24"/>
          <w:szCs w:val="24"/>
        </w:rPr>
        <w:t>(see Table 1 and Figure 1)</w:t>
      </w:r>
      <w:r w:rsidR="00CE6683" w:rsidRPr="002B144A">
        <w:rPr>
          <w:rFonts w:ascii="Times New Roman" w:hAnsi="Times New Roman"/>
          <w:sz w:val="24"/>
          <w:szCs w:val="24"/>
          <w:lang w:val="en-GB"/>
        </w:rPr>
        <w:t>:</w:t>
      </w:r>
    </w:p>
    <w:p w14:paraId="6F20347C" w14:textId="433CBC01" w:rsidR="006A7C99" w:rsidRPr="002B144A"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F</w:t>
      </w:r>
      <w:r w:rsidR="006A7C99" w:rsidRPr="002B144A">
        <w:rPr>
          <w:rFonts w:ascii="Times New Roman" w:hAnsi="Times New Roman"/>
          <w:sz w:val="24"/>
          <w:szCs w:val="24"/>
          <w:lang w:val="en-GB"/>
        </w:rPr>
        <w:t>atigue</w:t>
      </w:r>
      <w:r w:rsidR="00D365B9">
        <w:rPr>
          <w:rFonts w:ascii="Times New Roman" w:hAnsi="Times New Roman"/>
          <w:sz w:val="24"/>
          <w:szCs w:val="24"/>
          <w:lang w:val="en-GB"/>
        </w:rPr>
        <w:t>;</w:t>
      </w:r>
    </w:p>
    <w:p w14:paraId="418A689E" w14:textId="0C055DAA" w:rsidR="006A7C99" w:rsidRPr="002B144A"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G</w:t>
      </w:r>
      <w:r w:rsidR="006A7C99" w:rsidRPr="002B144A">
        <w:rPr>
          <w:rFonts w:ascii="Times New Roman" w:hAnsi="Times New Roman"/>
          <w:sz w:val="24"/>
          <w:szCs w:val="24"/>
          <w:lang w:val="en-GB"/>
        </w:rPr>
        <w:t>eneral corrosion</w:t>
      </w:r>
      <w:r w:rsidR="00D365B9">
        <w:rPr>
          <w:rFonts w:ascii="Times New Roman" w:hAnsi="Times New Roman"/>
          <w:sz w:val="24"/>
          <w:szCs w:val="24"/>
          <w:lang w:val="en-GB"/>
        </w:rPr>
        <w:t>;</w:t>
      </w:r>
    </w:p>
    <w:p w14:paraId="75DC3AB4" w14:textId="44E6FA6E" w:rsidR="006A7C99" w:rsidRPr="002B144A"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B</w:t>
      </w:r>
      <w:r w:rsidR="006A7C99" w:rsidRPr="002B144A">
        <w:rPr>
          <w:rFonts w:ascii="Times New Roman" w:hAnsi="Times New Roman"/>
          <w:sz w:val="24"/>
          <w:szCs w:val="24"/>
          <w:lang w:val="en-GB"/>
        </w:rPr>
        <w:t>oric acid corrosion</w:t>
      </w:r>
      <w:r w:rsidR="00D365B9">
        <w:rPr>
          <w:rFonts w:ascii="Times New Roman" w:hAnsi="Times New Roman"/>
          <w:sz w:val="24"/>
          <w:szCs w:val="24"/>
          <w:lang w:val="en-GB"/>
        </w:rPr>
        <w:t>;</w:t>
      </w:r>
    </w:p>
    <w:p w14:paraId="1CC50C45" w14:textId="6C222639" w:rsidR="006A7C99" w:rsidRPr="002B144A"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S</w:t>
      </w:r>
      <w:r w:rsidR="004542AD" w:rsidRPr="002B144A">
        <w:rPr>
          <w:rFonts w:ascii="Times New Roman" w:hAnsi="Times New Roman"/>
          <w:sz w:val="24"/>
          <w:szCs w:val="24"/>
          <w:lang w:val="en-GB"/>
        </w:rPr>
        <w:t>tress corrosion</w:t>
      </w:r>
      <w:r w:rsidR="0051437B">
        <w:rPr>
          <w:rFonts w:ascii="Times New Roman" w:hAnsi="Times New Roman"/>
          <w:sz w:val="24"/>
          <w:szCs w:val="24"/>
          <w:lang w:val="en-GB"/>
        </w:rPr>
        <w:t xml:space="preserve"> cracking</w:t>
      </w:r>
      <w:r w:rsidR="00D365B9">
        <w:rPr>
          <w:rFonts w:ascii="Times New Roman" w:hAnsi="Times New Roman"/>
          <w:sz w:val="24"/>
          <w:szCs w:val="24"/>
          <w:lang w:val="en-GB"/>
        </w:rPr>
        <w:t>;</w:t>
      </w:r>
    </w:p>
    <w:p w14:paraId="4E7476BA" w14:textId="752157DC" w:rsidR="007D12EA" w:rsidRPr="002B144A"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W</w:t>
      </w:r>
      <w:r w:rsidR="006A7C99" w:rsidRPr="002B144A">
        <w:rPr>
          <w:rFonts w:ascii="Times New Roman" w:hAnsi="Times New Roman"/>
          <w:sz w:val="24"/>
          <w:szCs w:val="24"/>
          <w:lang w:val="en-GB"/>
        </w:rPr>
        <w:t>ear</w:t>
      </w:r>
      <w:r w:rsidR="00D365B9">
        <w:rPr>
          <w:rFonts w:ascii="Times New Roman" w:hAnsi="Times New Roman"/>
          <w:sz w:val="24"/>
          <w:szCs w:val="24"/>
          <w:lang w:val="en-GB"/>
        </w:rPr>
        <w:t>;</w:t>
      </w:r>
    </w:p>
    <w:p w14:paraId="64FB983B" w14:textId="1B347634" w:rsidR="001C4CDF"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L</w:t>
      </w:r>
      <w:r w:rsidR="001C4CDF" w:rsidRPr="00EF56AB">
        <w:rPr>
          <w:rFonts w:ascii="Times New Roman" w:hAnsi="Times New Roman"/>
          <w:sz w:val="24"/>
          <w:szCs w:val="24"/>
          <w:lang w:val="en-GB"/>
        </w:rPr>
        <w:t>oss of preload</w:t>
      </w:r>
      <w:r w:rsidR="00D365B9">
        <w:rPr>
          <w:rFonts w:ascii="Times New Roman" w:hAnsi="Times New Roman"/>
          <w:sz w:val="24"/>
          <w:szCs w:val="24"/>
          <w:lang w:val="en-GB"/>
        </w:rPr>
        <w:t>;</w:t>
      </w:r>
      <w:r w:rsidR="001C4CDF" w:rsidRPr="001C4CDF">
        <w:rPr>
          <w:rFonts w:ascii="Times New Roman" w:hAnsi="Times New Roman"/>
          <w:sz w:val="24"/>
          <w:szCs w:val="24"/>
          <w:lang w:val="en-GB"/>
        </w:rPr>
        <w:t xml:space="preserve"> </w:t>
      </w:r>
    </w:p>
    <w:p w14:paraId="230C0765" w14:textId="46A7764B" w:rsidR="008B2D56" w:rsidRPr="001C4CDF" w:rsidRDefault="00E6392C" w:rsidP="00D365B9">
      <w:pPr>
        <w:pStyle w:val="Body"/>
        <w:numPr>
          <w:ilvl w:val="0"/>
          <w:numId w:val="41"/>
        </w:numPr>
        <w:tabs>
          <w:tab w:val="clear" w:pos="1080"/>
          <w:tab w:val="num" w:pos="720"/>
        </w:tabs>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T</w:t>
      </w:r>
      <w:r w:rsidR="008B2D56">
        <w:rPr>
          <w:rFonts w:ascii="Times New Roman" w:hAnsi="Times New Roman"/>
          <w:sz w:val="24"/>
          <w:szCs w:val="24"/>
          <w:lang w:val="en-GB"/>
        </w:rPr>
        <w:t>hermal ageing</w:t>
      </w:r>
      <w:r w:rsidR="00D365B9">
        <w:rPr>
          <w:rFonts w:ascii="Times New Roman" w:hAnsi="Times New Roman"/>
          <w:sz w:val="24"/>
          <w:szCs w:val="24"/>
          <w:lang w:val="en-GB"/>
        </w:rPr>
        <w:t>.</w:t>
      </w:r>
    </w:p>
    <w:p w14:paraId="1F84801D" w14:textId="77777777" w:rsidR="00031F79" w:rsidRPr="002B144A" w:rsidRDefault="00564AAB" w:rsidP="00D365B9">
      <w:pPr>
        <w:pStyle w:val="Body"/>
        <w:tabs>
          <w:tab w:val="clear" w:pos="360"/>
        </w:tabs>
        <w:ind w:left="0" w:firstLine="0"/>
        <w:jc w:val="both"/>
        <w:rPr>
          <w:rFonts w:ascii="Times New Roman" w:hAnsi="Times New Roman"/>
          <w:sz w:val="24"/>
          <w:szCs w:val="24"/>
          <w:lang w:val="en-GB"/>
        </w:rPr>
      </w:pPr>
      <w:r>
        <w:rPr>
          <w:rFonts w:ascii="Times New Roman" w:hAnsi="Times New Roman"/>
          <w:sz w:val="24"/>
          <w:szCs w:val="24"/>
          <w:lang w:val="en-GB"/>
        </w:rPr>
        <w:t>E</w:t>
      </w:r>
      <w:r w:rsidR="00CF12F5">
        <w:rPr>
          <w:rFonts w:ascii="Times New Roman" w:hAnsi="Times New Roman"/>
          <w:sz w:val="24"/>
          <w:szCs w:val="24"/>
          <w:lang w:val="en-GB"/>
        </w:rPr>
        <w:t>xample</w:t>
      </w:r>
      <w:r w:rsidR="00166B67">
        <w:rPr>
          <w:rFonts w:ascii="Times New Roman" w:hAnsi="Times New Roman"/>
          <w:sz w:val="24"/>
          <w:szCs w:val="24"/>
          <w:lang w:val="en-GB"/>
        </w:rPr>
        <w:t>s</w:t>
      </w:r>
      <w:r w:rsidR="00CF12F5">
        <w:rPr>
          <w:rFonts w:ascii="Times New Roman" w:hAnsi="Times New Roman"/>
          <w:sz w:val="24"/>
          <w:szCs w:val="24"/>
          <w:lang w:val="en-GB"/>
        </w:rPr>
        <w:t xml:space="preserve"> of </w:t>
      </w:r>
      <w:r w:rsidR="00031F79" w:rsidRPr="005A53A2">
        <w:rPr>
          <w:rFonts w:ascii="Times New Roman" w:hAnsi="Times New Roman"/>
          <w:sz w:val="24"/>
          <w:szCs w:val="24"/>
          <w:lang w:val="en-GB"/>
        </w:rPr>
        <w:t>critical location</w:t>
      </w:r>
      <w:r w:rsidR="00EC3EA9" w:rsidRPr="005A53A2">
        <w:rPr>
          <w:rFonts w:ascii="Times New Roman" w:hAnsi="Times New Roman"/>
          <w:sz w:val="24"/>
          <w:szCs w:val="24"/>
          <w:lang w:val="en-GB"/>
        </w:rPr>
        <w:t>s</w:t>
      </w:r>
      <w:r w:rsidR="00031F79" w:rsidRPr="005A53A2">
        <w:rPr>
          <w:rFonts w:ascii="Times New Roman" w:hAnsi="Times New Roman"/>
          <w:sz w:val="24"/>
          <w:szCs w:val="24"/>
          <w:lang w:val="en-GB"/>
        </w:rPr>
        <w:t xml:space="preserve"> for fatigue of </w:t>
      </w:r>
      <w:r w:rsidR="006A7C99" w:rsidRPr="005A53A2">
        <w:rPr>
          <w:rFonts w:ascii="Times New Roman" w:hAnsi="Times New Roman"/>
          <w:sz w:val="24"/>
          <w:szCs w:val="24"/>
          <w:lang w:val="en-GB"/>
        </w:rPr>
        <w:t xml:space="preserve">pressurizer </w:t>
      </w:r>
      <w:r w:rsidR="00EC3EA9" w:rsidRPr="005A53A2">
        <w:rPr>
          <w:rFonts w:ascii="Times New Roman" w:hAnsi="Times New Roman"/>
          <w:sz w:val="24"/>
          <w:szCs w:val="24"/>
          <w:lang w:val="en-GB"/>
        </w:rPr>
        <w:t>are</w:t>
      </w:r>
      <w:r w:rsidR="006A7C99" w:rsidRPr="005A53A2">
        <w:rPr>
          <w:rFonts w:ascii="Times New Roman" w:hAnsi="Times New Roman"/>
          <w:sz w:val="24"/>
          <w:szCs w:val="24"/>
          <w:lang w:val="en-GB"/>
        </w:rPr>
        <w:t xml:space="preserve"> nozzles and </w:t>
      </w:r>
      <w:r w:rsidR="00366F20" w:rsidRPr="005A53A2">
        <w:rPr>
          <w:rFonts w:ascii="Times New Roman" w:hAnsi="Times New Roman"/>
          <w:sz w:val="24"/>
          <w:szCs w:val="24"/>
          <w:lang w:val="en-GB"/>
        </w:rPr>
        <w:t xml:space="preserve">the </w:t>
      </w:r>
      <w:r w:rsidR="00EC3EA9" w:rsidRPr="005A53A2">
        <w:rPr>
          <w:rFonts w:ascii="Times New Roman" w:hAnsi="Times New Roman"/>
          <w:sz w:val="24"/>
          <w:szCs w:val="24"/>
          <w:lang w:val="en-GB"/>
        </w:rPr>
        <w:t>flanged joints</w:t>
      </w:r>
      <w:r w:rsidR="00031F79" w:rsidRPr="005A53A2">
        <w:rPr>
          <w:rFonts w:ascii="Times New Roman" w:hAnsi="Times New Roman"/>
          <w:sz w:val="24"/>
          <w:szCs w:val="24"/>
          <w:lang w:val="en-GB"/>
        </w:rPr>
        <w:t>.</w:t>
      </w:r>
    </w:p>
    <w:p w14:paraId="3933AAE2" w14:textId="77777777" w:rsidR="006A7C99" w:rsidRPr="002B144A" w:rsidRDefault="00564AAB" w:rsidP="00D365B9">
      <w:pPr>
        <w:pStyle w:val="Body"/>
        <w:tabs>
          <w:tab w:val="clear" w:pos="360"/>
        </w:tabs>
        <w:ind w:left="0" w:firstLine="0"/>
        <w:jc w:val="both"/>
        <w:rPr>
          <w:rFonts w:ascii="Times New Roman" w:hAnsi="Times New Roman"/>
          <w:sz w:val="24"/>
          <w:szCs w:val="24"/>
          <w:lang w:val="en-GB"/>
        </w:rPr>
      </w:pPr>
      <w:r>
        <w:rPr>
          <w:rFonts w:ascii="Times New Roman" w:hAnsi="Times New Roman"/>
          <w:sz w:val="24"/>
          <w:szCs w:val="24"/>
          <w:lang w:val="en-GB"/>
        </w:rPr>
        <w:t>E</w:t>
      </w:r>
      <w:r w:rsidR="0051437B">
        <w:rPr>
          <w:rFonts w:ascii="Times New Roman" w:hAnsi="Times New Roman"/>
          <w:sz w:val="24"/>
          <w:szCs w:val="24"/>
          <w:lang w:val="en-GB"/>
        </w:rPr>
        <w:t xml:space="preserve">xamples of </w:t>
      </w:r>
      <w:r w:rsidR="006A7C99" w:rsidRPr="002B144A">
        <w:rPr>
          <w:rFonts w:ascii="Times New Roman" w:hAnsi="Times New Roman"/>
          <w:sz w:val="24"/>
          <w:szCs w:val="24"/>
          <w:lang w:val="en-GB"/>
        </w:rPr>
        <w:t xml:space="preserve">critical locations </w:t>
      </w:r>
      <w:r w:rsidR="006A7C99" w:rsidRPr="005F35CA">
        <w:rPr>
          <w:rFonts w:ascii="Times New Roman" w:hAnsi="Times New Roman"/>
          <w:sz w:val="24"/>
          <w:szCs w:val="24"/>
          <w:lang w:val="en-GB"/>
        </w:rPr>
        <w:t>for</w:t>
      </w:r>
      <w:r w:rsidR="00D81394" w:rsidRPr="005F35CA">
        <w:rPr>
          <w:rFonts w:ascii="Times New Roman" w:hAnsi="Times New Roman"/>
          <w:sz w:val="24"/>
          <w:szCs w:val="24"/>
          <w:lang w:val="en-GB"/>
        </w:rPr>
        <w:t xml:space="preserve"> </w:t>
      </w:r>
      <w:r w:rsidR="006A7C99" w:rsidRPr="00275B58">
        <w:rPr>
          <w:rFonts w:ascii="Times New Roman" w:hAnsi="Times New Roman"/>
          <w:sz w:val="24"/>
          <w:szCs w:val="24"/>
          <w:lang w:val="en-GB"/>
        </w:rPr>
        <w:t>general</w:t>
      </w:r>
      <w:r w:rsidR="006A7C99" w:rsidRPr="002B144A">
        <w:rPr>
          <w:rFonts w:ascii="Times New Roman" w:hAnsi="Times New Roman"/>
          <w:sz w:val="24"/>
          <w:szCs w:val="24"/>
          <w:lang w:val="en-GB"/>
        </w:rPr>
        <w:t xml:space="preserve"> corrosion of pressurizer are </w:t>
      </w:r>
      <w:r w:rsidR="0051437B">
        <w:rPr>
          <w:rFonts w:ascii="Times New Roman" w:hAnsi="Times New Roman"/>
          <w:sz w:val="24"/>
          <w:szCs w:val="24"/>
          <w:lang w:val="en-GB"/>
        </w:rPr>
        <w:t xml:space="preserve">the external surfaces and the </w:t>
      </w:r>
      <w:r w:rsidR="006A7C99" w:rsidRPr="002B144A">
        <w:rPr>
          <w:rFonts w:ascii="Times New Roman" w:hAnsi="Times New Roman"/>
          <w:sz w:val="24"/>
          <w:szCs w:val="24"/>
          <w:lang w:val="en-GB"/>
        </w:rPr>
        <w:t>support structures.</w:t>
      </w:r>
    </w:p>
    <w:p w14:paraId="0E2F6B7C" w14:textId="77777777" w:rsidR="006A7C99" w:rsidRPr="002B144A" w:rsidRDefault="006A7C99"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Bolting </w:t>
      </w:r>
      <w:r w:rsidR="00B53B08" w:rsidRPr="002B144A">
        <w:rPr>
          <w:rFonts w:ascii="Times New Roman" w:hAnsi="Times New Roman"/>
          <w:sz w:val="24"/>
          <w:szCs w:val="24"/>
          <w:lang w:val="en-GB"/>
        </w:rPr>
        <w:t xml:space="preserve">and support structures </w:t>
      </w:r>
      <w:r w:rsidRPr="002B144A">
        <w:rPr>
          <w:rFonts w:ascii="Times New Roman" w:hAnsi="Times New Roman"/>
          <w:sz w:val="24"/>
          <w:szCs w:val="24"/>
          <w:lang w:val="en-GB"/>
        </w:rPr>
        <w:t>used on Pressurizer could be in carbon steel thus boric acid corrosion is a potential degradation mechanism.</w:t>
      </w:r>
    </w:p>
    <w:p w14:paraId="4C3B1D2F" w14:textId="77777777" w:rsidR="00501E98" w:rsidRPr="002B144A" w:rsidRDefault="00501E98"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Stress corrosion cracking can happen i</w:t>
      </w:r>
      <w:r w:rsidR="009A7659" w:rsidRPr="002B144A">
        <w:rPr>
          <w:rFonts w:ascii="Times New Roman" w:hAnsi="Times New Roman"/>
          <w:sz w:val="24"/>
          <w:szCs w:val="24"/>
          <w:lang w:val="en-GB"/>
        </w:rPr>
        <w:t>n</w:t>
      </w:r>
      <w:r w:rsidRPr="002B144A">
        <w:rPr>
          <w:rFonts w:ascii="Times New Roman" w:hAnsi="Times New Roman"/>
          <w:sz w:val="24"/>
          <w:szCs w:val="24"/>
          <w:lang w:val="en-GB"/>
        </w:rPr>
        <w:t xml:space="preserve"> stagnant </w:t>
      </w:r>
      <w:r w:rsidRPr="005F35CA">
        <w:rPr>
          <w:rFonts w:ascii="Times New Roman" w:hAnsi="Times New Roman"/>
          <w:sz w:val="24"/>
          <w:szCs w:val="24"/>
          <w:lang w:val="en-GB"/>
        </w:rPr>
        <w:t>localize</w:t>
      </w:r>
      <w:r w:rsidR="003A6970" w:rsidRPr="00275B58">
        <w:rPr>
          <w:rFonts w:ascii="Times New Roman" w:hAnsi="Times New Roman"/>
          <w:sz w:val="24"/>
          <w:szCs w:val="24"/>
          <w:lang w:val="en-GB"/>
        </w:rPr>
        <w:t>d</w:t>
      </w:r>
      <w:r w:rsidR="00B53B08" w:rsidRPr="00275B58">
        <w:rPr>
          <w:rFonts w:ascii="Times New Roman" w:hAnsi="Times New Roman"/>
          <w:sz w:val="24"/>
          <w:szCs w:val="24"/>
          <w:lang w:val="en-GB"/>
        </w:rPr>
        <w:t xml:space="preserve"> c</w:t>
      </w:r>
      <w:r w:rsidR="00B53B08" w:rsidRPr="002B144A">
        <w:rPr>
          <w:rFonts w:ascii="Times New Roman" w:hAnsi="Times New Roman"/>
          <w:sz w:val="24"/>
          <w:szCs w:val="24"/>
          <w:lang w:val="en-GB"/>
        </w:rPr>
        <w:t>orrosion susceptible location, e.g. nozzles, collectors, surge-line of Pressurizer.</w:t>
      </w:r>
    </w:p>
    <w:p w14:paraId="12DB6334" w14:textId="77777777" w:rsidR="00031F79" w:rsidRPr="002B144A" w:rsidRDefault="00AA2107"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Degradation due to wear or stress relaxation could be applicable to fitted con</w:t>
      </w:r>
      <w:r w:rsidR="00D23D42" w:rsidRPr="002B144A">
        <w:rPr>
          <w:rFonts w:ascii="Times New Roman" w:hAnsi="Times New Roman"/>
          <w:sz w:val="24"/>
          <w:szCs w:val="24"/>
          <w:lang w:val="en-GB"/>
        </w:rPr>
        <w:t>nections such as bolts</w:t>
      </w:r>
      <w:r w:rsidR="00B53B08" w:rsidRPr="002B144A">
        <w:rPr>
          <w:rFonts w:ascii="Times New Roman" w:hAnsi="Times New Roman"/>
          <w:sz w:val="24"/>
          <w:szCs w:val="24"/>
          <w:lang w:val="en-GB"/>
        </w:rPr>
        <w:t>, internal parts of Pressurizer</w:t>
      </w:r>
      <w:r w:rsidR="00D23D42" w:rsidRPr="002B144A">
        <w:rPr>
          <w:rFonts w:ascii="Times New Roman" w:hAnsi="Times New Roman"/>
          <w:sz w:val="24"/>
          <w:szCs w:val="24"/>
          <w:lang w:val="en-GB"/>
        </w:rPr>
        <w:t>.</w:t>
      </w:r>
    </w:p>
    <w:p w14:paraId="05796E2D" w14:textId="77777777" w:rsidR="000E3FEA" w:rsidRDefault="00B53B08" w:rsidP="00D365B9">
      <w:pPr>
        <w:pStyle w:val="Body"/>
        <w:tabs>
          <w:tab w:val="clear" w:pos="360"/>
        </w:tabs>
        <w:ind w:left="0" w:firstLine="0"/>
        <w:jc w:val="both"/>
        <w:rPr>
          <w:rFonts w:ascii="Times New Roman" w:hAnsi="Times New Roman"/>
          <w:sz w:val="24"/>
          <w:szCs w:val="24"/>
          <w:lang w:val="en-GB"/>
        </w:rPr>
      </w:pPr>
      <w:r w:rsidRPr="00266996">
        <w:rPr>
          <w:rFonts w:ascii="Times New Roman" w:hAnsi="Times New Roman"/>
          <w:sz w:val="24"/>
          <w:szCs w:val="24"/>
          <w:lang w:val="en-GB"/>
        </w:rPr>
        <w:t xml:space="preserve">Degradation due to </w:t>
      </w:r>
      <w:r w:rsidR="00564AAB">
        <w:rPr>
          <w:rFonts w:ascii="Times New Roman" w:hAnsi="Times New Roman"/>
          <w:sz w:val="24"/>
          <w:szCs w:val="24"/>
          <w:lang w:val="en-GB"/>
        </w:rPr>
        <w:t>los</w:t>
      </w:r>
      <w:r w:rsidR="00DA30F4">
        <w:rPr>
          <w:rFonts w:ascii="Times New Roman" w:hAnsi="Times New Roman"/>
          <w:sz w:val="24"/>
          <w:szCs w:val="24"/>
          <w:lang w:val="en-GB"/>
        </w:rPr>
        <w:t>s</w:t>
      </w:r>
      <w:r w:rsidR="00564AAB">
        <w:rPr>
          <w:rFonts w:ascii="Times New Roman" w:hAnsi="Times New Roman"/>
          <w:sz w:val="24"/>
          <w:szCs w:val="24"/>
          <w:lang w:val="en-GB"/>
        </w:rPr>
        <w:t xml:space="preserve"> of preload </w:t>
      </w:r>
      <w:r w:rsidRPr="00266996">
        <w:rPr>
          <w:rFonts w:ascii="Times New Roman" w:hAnsi="Times New Roman"/>
          <w:sz w:val="24"/>
          <w:szCs w:val="24"/>
          <w:lang w:val="en-GB"/>
        </w:rPr>
        <w:t>could be applicable to fitted connections such as bolts and keys</w:t>
      </w:r>
      <w:r w:rsidR="009A7659" w:rsidRPr="00266996">
        <w:rPr>
          <w:rFonts w:ascii="Times New Roman" w:hAnsi="Times New Roman"/>
          <w:sz w:val="24"/>
          <w:szCs w:val="24"/>
          <w:lang w:val="en-GB"/>
        </w:rPr>
        <w:t>.</w:t>
      </w:r>
    </w:p>
    <w:p w14:paraId="1E84753D" w14:textId="01E5AD43" w:rsidR="002D5433" w:rsidRPr="003A6686" w:rsidRDefault="004F35A0" w:rsidP="00D365B9">
      <w:pPr>
        <w:pStyle w:val="Body"/>
        <w:tabs>
          <w:tab w:val="clear" w:pos="360"/>
        </w:tabs>
        <w:ind w:left="0" w:firstLine="0"/>
        <w:jc w:val="both"/>
        <w:rPr>
          <w:rFonts w:ascii="Times New Roman" w:hAnsi="Times New Roman"/>
          <w:color w:val="FF0000"/>
          <w:sz w:val="24"/>
          <w:szCs w:val="24"/>
          <w:lang w:val="en-GB"/>
        </w:rPr>
      </w:pPr>
      <w:r w:rsidRPr="003A6686">
        <w:rPr>
          <w:rFonts w:ascii="Times New Roman" w:hAnsi="Times New Roman"/>
          <w:color w:val="FF0000"/>
          <w:sz w:val="24"/>
          <w:szCs w:val="24"/>
          <w:lang w:val="en-GB"/>
        </w:rPr>
        <w:t>Examples of critical locations with potential degradation mechanism</w:t>
      </w:r>
      <w:r w:rsidR="0080664C" w:rsidRPr="003A6686">
        <w:rPr>
          <w:rFonts w:ascii="Times New Roman" w:hAnsi="Times New Roman"/>
          <w:color w:val="FF0000"/>
          <w:sz w:val="24"/>
          <w:szCs w:val="24"/>
          <w:lang w:val="en-GB"/>
        </w:rPr>
        <w:t>s</w:t>
      </w:r>
      <w:r w:rsidRPr="003A6686">
        <w:rPr>
          <w:rFonts w:ascii="Times New Roman" w:hAnsi="Times New Roman"/>
          <w:color w:val="FF0000"/>
          <w:sz w:val="24"/>
          <w:szCs w:val="24"/>
          <w:lang w:val="en-GB"/>
        </w:rPr>
        <w:t xml:space="preserve"> are summarized in </w:t>
      </w:r>
      <w:r w:rsidR="00E6392C" w:rsidRPr="003A6686">
        <w:rPr>
          <w:rFonts w:ascii="Times New Roman" w:hAnsi="Times New Roman"/>
          <w:color w:val="FF0000"/>
          <w:sz w:val="24"/>
          <w:szCs w:val="24"/>
          <w:lang w:val="en-GB"/>
        </w:rPr>
        <w:t>T</w:t>
      </w:r>
      <w:r w:rsidRPr="003A6686">
        <w:rPr>
          <w:rFonts w:ascii="Times New Roman" w:hAnsi="Times New Roman"/>
          <w:color w:val="FF0000"/>
          <w:sz w:val="24"/>
          <w:szCs w:val="24"/>
          <w:lang w:val="en-GB"/>
        </w:rPr>
        <w:t>able</w:t>
      </w:r>
      <w:r w:rsidR="00E6392C" w:rsidRPr="003A6686">
        <w:rPr>
          <w:rFonts w:ascii="Times New Roman" w:hAnsi="Times New Roman"/>
          <w:color w:val="FF0000"/>
          <w:sz w:val="24"/>
          <w:szCs w:val="24"/>
          <w:lang w:val="en-GB"/>
        </w:rPr>
        <w:t> </w:t>
      </w:r>
      <w:r w:rsidRPr="003A6686">
        <w:rPr>
          <w:rFonts w:ascii="Times New Roman" w:hAnsi="Times New Roman"/>
          <w:color w:val="FF0000"/>
          <w:sz w:val="24"/>
          <w:szCs w:val="24"/>
          <w:lang w:val="en-GB"/>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
        <w:gridCol w:w="2307"/>
        <w:gridCol w:w="941"/>
        <w:gridCol w:w="930"/>
        <w:gridCol w:w="930"/>
        <w:gridCol w:w="930"/>
        <w:gridCol w:w="985"/>
        <w:gridCol w:w="852"/>
        <w:gridCol w:w="763"/>
      </w:tblGrid>
      <w:tr w:rsidR="003A6686" w:rsidRPr="003A6686" w14:paraId="72AE657A" w14:textId="77777777" w:rsidTr="002D5433">
        <w:trPr>
          <w:trHeight w:val="398"/>
          <w:jc w:val="center"/>
        </w:trPr>
        <w:tc>
          <w:tcPr>
            <w:tcW w:w="0" w:type="auto"/>
            <w:vMerge w:val="restart"/>
            <w:tcBorders>
              <w:top w:val="single" w:sz="12" w:space="0" w:color="auto"/>
              <w:left w:val="single" w:sz="12" w:space="0" w:color="auto"/>
              <w:right w:val="single" w:sz="12" w:space="0" w:color="auto"/>
            </w:tcBorders>
            <w:vAlign w:val="center"/>
          </w:tcPr>
          <w:p w14:paraId="5A92642C" w14:textId="77777777" w:rsidR="002D5433" w:rsidRPr="003A6686" w:rsidRDefault="002D5433" w:rsidP="002D5433">
            <w:pPr>
              <w:jc w:val="center"/>
              <w:rPr>
                <w:rFonts w:ascii="Times New Roman" w:hAnsi="Times New Roman"/>
                <w:b/>
                <w:color w:val="FF0000"/>
                <w:sz w:val="20"/>
              </w:rPr>
            </w:pPr>
            <w:r w:rsidRPr="003A6686">
              <w:rPr>
                <w:rFonts w:ascii="Times New Roman" w:hAnsi="Times New Roman"/>
                <w:b/>
                <w:color w:val="FF0000"/>
                <w:sz w:val="20"/>
              </w:rPr>
              <w:t>Loc. ID</w:t>
            </w:r>
          </w:p>
        </w:tc>
        <w:tc>
          <w:tcPr>
            <w:tcW w:w="0" w:type="auto"/>
            <w:tcBorders>
              <w:top w:val="single" w:sz="12" w:space="0" w:color="auto"/>
              <w:left w:val="single" w:sz="12" w:space="0" w:color="auto"/>
              <w:bottom w:val="single" w:sz="4" w:space="0" w:color="auto"/>
              <w:right w:val="single" w:sz="12" w:space="0" w:color="auto"/>
            </w:tcBorders>
            <w:shd w:val="clear" w:color="auto" w:fill="D9D9D9"/>
            <w:vAlign w:val="center"/>
          </w:tcPr>
          <w:p w14:paraId="3D19E2F9" w14:textId="77777777" w:rsidR="002D5433" w:rsidRPr="003A6686" w:rsidRDefault="002D5433" w:rsidP="007022B4">
            <w:pPr>
              <w:snapToGrid w:val="0"/>
              <w:jc w:val="right"/>
              <w:rPr>
                <w:rFonts w:ascii="Times New Roman" w:hAnsi="Times New Roman"/>
                <w:b/>
                <w:i/>
                <w:color w:val="FF0000"/>
                <w:sz w:val="20"/>
              </w:rPr>
            </w:pPr>
            <w:r w:rsidRPr="003A6686">
              <w:rPr>
                <w:rFonts w:ascii="Times New Roman" w:hAnsi="Times New Roman"/>
                <w:b/>
                <w:i/>
                <w:color w:val="FF0000"/>
                <w:sz w:val="20"/>
              </w:rPr>
              <w:t xml:space="preserve">Degradation mechanism </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25252F05" w14:textId="77777777" w:rsidR="002D5433" w:rsidRPr="003A6686" w:rsidRDefault="002D5433" w:rsidP="007022B4">
            <w:pPr>
              <w:snapToGrid w:val="0"/>
              <w:jc w:val="center"/>
              <w:rPr>
                <w:rFonts w:ascii="Times New Roman" w:hAnsi="Times New Roman"/>
                <w:b/>
                <w:i/>
                <w:color w:val="FF0000"/>
                <w:sz w:val="20"/>
              </w:rPr>
            </w:pPr>
            <w:r w:rsidRPr="003A6686">
              <w:rPr>
                <w:rFonts w:ascii="Times New Roman" w:hAnsi="Times New Roman"/>
                <w:b/>
                <w:i/>
                <w:color w:val="FF0000"/>
                <w:sz w:val="20"/>
              </w:rPr>
              <w:t>Fatigue</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1E898E03" w14:textId="77777777" w:rsidR="002D5433" w:rsidRPr="003A6686" w:rsidDel="001C4345" w:rsidRDefault="002D5433" w:rsidP="007022B4">
            <w:pPr>
              <w:snapToGrid w:val="0"/>
              <w:jc w:val="center"/>
              <w:rPr>
                <w:rFonts w:ascii="Times New Roman" w:hAnsi="Times New Roman"/>
                <w:b/>
                <w:i/>
                <w:color w:val="FF0000"/>
                <w:sz w:val="20"/>
              </w:rPr>
            </w:pPr>
            <w:r w:rsidRPr="003A6686">
              <w:rPr>
                <w:rFonts w:ascii="Times New Roman" w:hAnsi="Times New Roman"/>
                <w:b/>
                <w:i/>
                <w:color w:val="FF0000"/>
                <w:sz w:val="20"/>
              </w:rPr>
              <w:t>General corrosion</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1E19CF9A" w14:textId="77777777" w:rsidR="002D5433" w:rsidRPr="003A6686" w:rsidRDefault="002D5433" w:rsidP="007022B4">
            <w:pPr>
              <w:snapToGrid w:val="0"/>
              <w:jc w:val="center"/>
              <w:rPr>
                <w:rFonts w:ascii="Times New Roman" w:hAnsi="Times New Roman"/>
                <w:b/>
                <w:i/>
                <w:color w:val="FF0000"/>
                <w:sz w:val="20"/>
              </w:rPr>
            </w:pPr>
            <w:r w:rsidRPr="003A6686">
              <w:rPr>
                <w:rFonts w:ascii="Times New Roman" w:hAnsi="Times New Roman"/>
                <w:b/>
                <w:i/>
                <w:color w:val="FF0000"/>
                <w:sz w:val="20"/>
              </w:rPr>
              <w:t>Boric acid corrosion</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5F3DF77F" w14:textId="77777777" w:rsidR="002D5433" w:rsidRPr="003A6686" w:rsidRDefault="002D5433" w:rsidP="007022B4">
            <w:pPr>
              <w:snapToGrid w:val="0"/>
              <w:jc w:val="center"/>
              <w:rPr>
                <w:rFonts w:ascii="Times New Roman" w:hAnsi="Times New Roman"/>
                <w:b/>
                <w:i/>
                <w:color w:val="FF0000"/>
                <w:sz w:val="20"/>
              </w:rPr>
            </w:pPr>
            <w:r w:rsidRPr="003A6686">
              <w:rPr>
                <w:rFonts w:ascii="Times New Roman" w:hAnsi="Times New Roman"/>
                <w:b/>
                <w:i/>
                <w:color w:val="FF0000"/>
                <w:sz w:val="20"/>
              </w:rPr>
              <w:t>Local corrosion (incl. SCC)</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674CB7F3" w14:textId="77777777" w:rsidR="002D5433" w:rsidRPr="003A6686" w:rsidRDefault="002D5433" w:rsidP="007022B4">
            <w:pPr>
              <w:snapToGrid w:val="0"/>
              <w:jc w:val="center"/>
              <w:rPr>
                <w:rFonts w:ascii="Times New Roman" w:hAnsi="Times New Roman"/>
                <w:b/>
                <w:i/>
                <w:color w:val="FF0000"/>
                <w:sz w:val="20"/>
              </w:rPr>
            </w:pPr>
            <w:r w:rsidRPr="003A6686">
              <w:rPr>
                <w:rFonts w:ascii="Times New Roman" w:hAnsi="Times New Roman"/>
                <w:b/>
                <w:i/>
                <w:color w:val="FF0000"/>
                <w:sz w:val="20"/>
              </w:rPr>
              <w:t>Wear</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0539C5F0" w14:textId="77777777" w:rsidR="002D5433" w:rsidRPr="003A6686" w:rsidRDefault="002D5433" w:rsidP="002D5433">
            <w:pPr>
              <w:snapToGrid w:val="0"/>
              <w:jc w:val="center"/>
              <w:rPr>
                <w:rFonts w:ascii="Times New Roman" w:hAnsi="Times New Roman"/>
                <w:b/>
                <w:i/>
                <w:color w:val="FF0000"/>
                <w:sz w:val="20"/>
              </w:rPr>
            </w:pPr>
            <w:r w:rsidRPr="003A6686">
              <w:rPr>
                <w:rFonts w:ascii="Times New Roman" w:hAnsi="Times New Roman"/>
                <w:b/>
                <w:i/>
                <w:color w:val="FF0000"/>
                <w:sz w:val="20"/>
              </w:rPr>
              <w:t xml:space="preserve">Thermal </w:t>
            </w:r>
            <w:proofErr w:type="spellStart"/>
            <w:r w:rsidRPr="003A6686">
              <w:rPr>
                <w:rFonts w:ascii="Times New Roman" w:hAnsi="Times New Roman"/>
                <w:b/>
                <w:i/>
                <w:color w:val="FF0000"/>
                <w:sz w:val="20"/>
              </w:rPr>
              <w:t>embr</w:t>
            </w:r>
            <w:proofErr w:type="spellEnd"/>
            <w:r w:rsidRPr="003A6686">
              <w:rPr>
                <w:rFonts w:ascii="Times New Roman" w:hAnsi="Times New Roman"/>
                <w:b/>
                <w:i/>
                <w:color w:val="FF0000"/>
                <w:sz w:val="20"/>
              </w:rPr>
              <w:t>.</w:t>
            </w:r>
          </w:p>
        </w:tc>
        <w:tc>
          <w:tcPr>
            <w:tcW w:w="567" w:type="dxa"/>
            <w:vMerge w:val="restart"/>
            <w:tcBorders>
              <w:top w:val="single" w:sz="12" w:space="0" w:color="auto"/>
              <w:left w:val="single" w:sz="12" w:space="0" w:color="auto"/>
              <w:right w:val="single" w:sz="12" w:space="0" w:color="auto"/>
            </w:tcBorders>
            <w:shd w:val="clear" w:color="auto" w:fill="D9D9D9"/>
            <w:vAlign w:val="center"/>
          </w:tcPr>
          <w:p w14:paraId="146B47CE" w14:textId="77777777" w:rsidR="002D5433" w:rsidRPr="003A6686" w:rsidRDefault="002D5433" w:rsidP="007022B4">
            <w:pPr>
              <w:snapToGrid w:val="0"/>
              <w:jc w:val="center"/>
              <w:rPr>
                <w:rFonts w:ascii="Times New Roman" w:hAnsi="Times New Roman"/>
                <w:b/>
                <w:i/>
                <w:color w:val="FF0000"/>
                <w:sz w:val="20"/>
              </w:rPr>
            </w:pPr>
            <w:r w:rsidRPr="003A6686">
              <w:rPr>
                <w:rFonts w:ascii="Times New Roman" w:hAnsi="Times New Roman"/>
                <w:b/>
                <w:i/>
                <w:color w:val="FF0000"/>
                <w:sz w:val="20"/>
              </w:rPr>
              <w:t>Loss of preload</w:t>
            </w:r>
          </w:p>
        </w:tc>
      </w:tr>
      <w:tr w:rsidR="003A6686" w:rsidRPr="003A6686" w14:paraId="49744C1E" w14:textId="77777777" w:rsidTr="002D5433">
        <w:trPr>
          <w:trHeight w:val="415"/>
          <w:jc w:val="center"/>
        </w:trPr>
        <w:tc>
          <w:tcPr>
            <w:tcW w:w="0" w:type="auto"/>
            <w:vMerge/>
            <w:tcBorders>
              <w:left w:val="single" w:sz="12" w:space="0" w:color="auto"/>
              <w:bottom w:val="single" w:sz="12" w:space="0" w:color="auto"/>
              <w:right w:val="single" w:sz="12" w:space="0" w:color="auto"/>
            </w:tcBorders>
            <w:vAlign w:val="center"/>
          </w:tcPr>
          <w:p w14:paraId="2777E9A4" w14:textId="77777777" w:rsidR="002D5433" w:rsidRPr="003A6686" w:rsidRDefault="002D5433" w:rsidP="007022B4">
            <w:pPr>
              <w:jc w:val="center"/>
              <w:rPr>
                <w:rFonts w:ascii="Times New Roman" w:hAnsi="Times New Roman"/>
                <w:b/>
                <w:color w:val="FF0000"/>
                <w:sz w:val="20"/>
              </w:rPr>
            </w:pPr>
          </w:p>
        </w:tc>
        <w:tc>
          <w:tcPr>
            <w:tcW w:w="0" w:type="auto"/>
            <w:tcBorders>
              <w:top w:val="single" w:sz="4" w:space="0" w:color="auto"/>
              <w:left w:val="single" w:sz="12" w:space="0" w:color="auto"/>
              <w:bottom w:val="single" w:sz="12" w:space="0" w:color="auto"/>
              <w:right w:val="single" w:sz="12" w:space="0" w:color="auto"/>
            </w:tcBorders>
            <w:vAlign w:val="center"/>
          </w:tcPr>
          <w:p w14:paraId="3E4AF6D8"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Critical location</w:t>
            </w:r>
          </w:p>
        </w:tc>
        <w:tc>
          <w:tcPr>
            <w:tcW w:w="567" w:type="dxa"/>
            <w:vMerge/>
            <w:tcBorders>
              <w:left w:val="single" w:sz="12" w:space="0" w:color="auto"/>
              <w:bottom w:val="single" w:sz="12" w:space="0" w:color="auto"/>
              <w:right w:val="single" w:sz="12" w:space="0" w:color="auto"/>
            </w:tcBorders>
            <w:vAlign w:val="center"/>
          </w:tcPr>
          <w:p w14:paraId="5CEC9422" w14:textId="77777777" w:rsidR="002D5433" w:rsidRPr="003A6686" w:rsidRDefault="002D5433" w:rsidP="007022B4">
            <w:pPr>
              <w:snapToGrid w:val="0"/>
              <w:jc w:val="center"/>
              <w:rPr>
                <w:rFonts w:ascii="Times New Roman" w:hAnsi="Times New Roman"/>
                <w:b/>
                <w:color w:val="FF0000"/>
                <w:sz w:val="20"/>
              </w:rPr>
            </w:pPr>
          </w:p>
        </w:tc>
        <w:tc>
          <w:tcPr>
            <w:tcW w:w="567" w:type="dxa"/>
            <w:vMerge/>
            <w:tcBorders>
              <w:left w:val="single" w:sz="12" w:space="0" w:color="auto"/>
              <w:bottom w:val="single" w:sz="12" w:space="0" w:color="auto"/>
              <w:right w:val="single" w:sz="12" w:space="0" w:color="auto"/>
            </w:tcBorders>
            <w:vAlign w:val="center"/>
          </w:tcPr>
          <w:p w14:paraId="7AFBCA1E" w14:textId="77777777" w:rsidR="002D5433" w:rsidRPr="003A6686" w:rsidRDefault="002D5433" w:rsidP="007022B4">
            <w:pPr>
              <w:snapToGrid w:val="0"/>
              <w:jc w:val="center"/>
              <w:rPr>
                <w:rFonts w:ascii="Times New Roman" w:hAnsi="Times New Roman"/>
                <w:b/>
                <w:color w:val="FF0000"/>
                <w:sz w:val="20"/>
              </w:rPr>
            </w:pPr>
          </w:p>
        </w:tc>
        <w:tc>
          <w:tcPr>
            <w:tcW w:w="567" w:type="dxa"/>
            <w:vMerge/>
            <w:tcBorders>
              <w:left w:val="single" w:sz="12" w:space="0" w:color="auto"/>
              <w:bottom w:val="single" w:sz="12" w:space="0" w:color="auto"/>
              <w:right w:val="single" w:sz="12" w:space="0" w:color="auto"/>
            </w:tcBorders>
            <w:vAlign w:val="center"/>
          </w:tcPr>
          <w:p w14:paraId="2885E513" w14:textId="77777777" w:rsidR="002D5433" w:rsidRPr="003A6686" w:rsidRDefault="002D5433" w:rsidP="007022B4">
            <w:pPr>
              <w:snapToGrid w:val="0"/>
              <w:jc w:val="center"/>
              <w:rPr>
                <w:rFonts w:ascii="Times New Roman" w:hAnsi="Times New Roman"/>
                <w:b/>
                <w:color w:val="FF0000"/>
                <w:sz w:val="20"/>
              </w:rPr>
            </w:pPr>
          </w:p>
        </w:tc>
        <w:tc>
          <w:tcPr>
            <w:tcW w:w="567" w:type="dxa"/>
            <w:vMerge/>
            <w:tcBorders>
              <w:left w:val="single" w:sz="12" w:space="0" w:color="auto"/>
              <w:bottom w:val="single" w:sz="12" w:space="0" w:color="auto"/>
              <w:right w:val="single" w:sz="12" w:space="0" w:color="auto"/>
            </w:tcBorders>
            <w:vAlign w:val="center"/>
          </w:tcPr>
          <w:p w14:paraId="33B1CD44" w14:textId="77777777" w:rsidR="002D5433" w:rsidRPr="003A6686" w:rsidRDefault="002D5433" w:rsidP="007022B4">
            <w:pPr>
              <w:snapToGrid w:val="0"/>
              <w:jc w:val="center"/>
              <w:rPr>
                <w:rFonts w:ascii="Times New Roman" w:hAnsi="Times New Roman"/>
                <w:b/>
                <w:color w:val="FF0000"/>
                <w:sz w:val="20"/>
              </w:rPr>
            </w:pPr>
          </w:p>
        </w:tc>
        <w:tc>
          <w:tcPr>
            <w:tcW w:w="567" w:type="dxa"/>
            <w:vMerge/>
            <w:tcBorders>
              <w:left w:val="single" w:sz="12" w:space="0" w:color="auto"/>
              <w:bottom w:val="single" w:sz="12" w:space="0" w:color="auto"/>
              <w:right w:val="single" w:sz="12" w:space="0" w:color="auto"/>
            </w:tcBorders>
            <w:vAlign w:val="center"/>
          </w:tcPr>
          <w:p w14:paraId="471C687E" w14:textId="77777777" w:rsidR="002D5433" w:rsidRPr="003A6686" w:rsidRDefault="002D5433" w:rsidP="007022B4">
            <w:pPr>
              <w:snapToGrid w:val="0"/>
              <w:jc w:val="center"/>
              <w:rPr>
                <w:rFonts w:ascii="Times New Roman" w:hAnsi="Times New Roman"/>
                <w:b/>
                <w:color w:val="FF0000"/>
                <w:sz w:val="20"/>
              </w:rPr>
            </w:pPr>
          </w:p>
        </w:tc>
        <w:tc>
          <w:tcPr>
            <w:tcW w:w="567" w:type="dxa"/>
            <w:vMerge/>
            <w:tcBorders>
              <w:left w:val="single" w:sz="12" w:space="0" w:color="auto"/>
              <w:bottom w:val="single" w:sz="12" w:space="0" w:color="auto"/>
              <w:right w:val="single" w:sz="12" w:space="0" w:color="auto"/>
            </w:tcBorders>
            <w:vAlign w:val="center"/>
          </w:tcPr>
          <w:p w14:paraId="27E18BDB" w14:textId="77777777" w:rsidR="002D5433" w:rsidRPr="003A6686" w:rsidRDefault="002D5433" w:rsidP="007022B4">
            <w:pPr>
              <w:snapToGrid w:val="0"/>
              <w:jc w:val="center"/>
              <w:rPr>
                <w:rFonts w:ascii="Times New Roman" w:hAnsi="Times New Roman"/>
                <w:b/>
                <w:color w:val="FF0000"/>
                <w:sz w:val="20"/>
              </w:rPr>
            </w:pPr>
          </w:p>
        </w:tc>
        <w:tc>
          <w:tcPr>
            <w:tcW w:w="567" w:type="dxa"/>
            <w:vMerge/>
            <w:tcBorders>
              <w:left w:val="single" w:sz="12" w:space="0" w:color="auto"/>
              <w:bottom w:val="single" w:sz="12" w:space="0" w:color="auto"/>
              <w:right w:val="single" w:sz="12" w:space="0" w:color="auto"/>
            </w:tcBorders>
            <w:vAlign w:val="center"/>
          </w:tcPr>
          <w:p w14:paraId="12BF217C"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69D4E98A" w14:textId="77777777" w:rsidTr="002D5433">
        <w:trPr>
          <w:trHeight w:val="567"/>
          <w:jc w:val="center"/>
        </w:trPr>
        <w:tc>
          <w:tcPr>
            <w:tcW w:w="0" w:type="auto"/>
            <w:tcBorders>
              <w:top w:val="single" w:sz="12" w:space="0" w:color="auto"/>
              <w:left w:val="single" w:sz="12" w:space="0" w:color="auto"/>
              <w:bottom w:val="single" w:sz="4" w:space="0" w:color="auto"/>
              <w:right w:val="single" w:sz="12" w:space="0" w:color="auto"/>
            </w:tcBorders>
            <w:vAlign w:val="center"/>
          </w:tcPr>
          <w:p w14:paraId="0D98EBF9" w14:textId="77777777" w:rsidR="002D5433" w:rsidRPr="003A6686" w:rsidRDefault="002D5433" w:rsidP="007022B4">
            <w:pPr>
              <w:jc w:val="center"/>
              <w:rPr>
                <w:rFonts w:ascii="Times New Roman" w:hAnsi="Times New Roman"/>
                <w:b/>
                <w:color w:val="FF0000"/>
                <w:sz w:val="20"/>
              </w:rPr>
            </w:pPr>
            <w:r w:rsidRPr="003A6686">
              <w:rPr>
                <w:rFonts w:ascii="Times New Roman" w:hAnsi="Times New Roman"/>
                <w:b/>
                <w:color w:val="FF0000"/>
                <w:sz w:val="20"/>
              </w:rPr>
              <w:t>1</w:t>
            </w:r>
          </w:p>
        </w:tc>
        <w:tc>
          <w:tcPr>
            <w:tcW w:w="0" w:type="auto"/>
            <w:tcBorders>
              <w:top w:val="single" w:sz="12" w:space="0" w:color="auto"/>
              <w:left w:val="single" w:sz="12" w:space="0" w:color="auto"/>
              <w:bottom w:val="single" w:sz="4" w:space="0" w:color="auto"/>
              <w:right w:val="single" w:sz="4" w:space="0" w:color="auto"/>
            </w:tcBorders>
            <w:vAlign w:val="center"/>
          </w:tcPr>
          <w:p w14:paraId="3EA17777" w14:textId="77777777" w:rsidR="002D5433" w:rsidRPr="003A6686" w:rsidRDefault="002D5433" w:rsidP="007022B4">
            <w:pPr>
              <w:snapToGrid w:val="0"/>
              <w:rPr>
                <w:rFonts w:ascii="Times New Roman" w:hAnsi="Times New Roman"/>
                <w:b/>
                <w:color w:val="FF0000"/>
                <w:sz w:val="20"/>
              </w:rPr>
            </w:pPr>
            <w:proofErr w:type="gramStart"/>
            <w:r w:rsidRPr="003A6686">
              <w:rPr>
                <w:rFonts w:ascii="Times New Roman" w:hAnsi="Times New Roman"/>
                <w:b/>
                <w:color w:val="FF0000"/>
                <w:sz w:val="20"/>
              </w:rPr>
              <w:t>Man-hole</w:t>
            </w:r>
            <w:proofErr w:type="gramEnd"/>
            <w:r w:rsidRPr="003A6686">
              <w:rPr>
                <w:rFonts w:ascii="Times New Roman" w:hAnsi="Times New Roman"/>
                <w:b/>
                <w:color w:val="FF0000"/>
                <w:sz w:val="20"/>
              </w:rPr>
              <w:t xml:space="preserve"> with sealing and bolted connections</w:t>
            </w:r>
          </w:p>
        </w:tc>
        <w:tc>
          <w:tcPr>
            <w:tcW w:w="567" w:type="dxa"/>
            <w:tcBorders>
              <w:top w:val="single" w:sz="12" w:space="0" w:color="auto"/>
              <w:left w:val="single" w:sz="4" w:space="0" w:color="auto"/>
              <w:bottom w:val="single" w:sz="4" w:space="0" w:color="auto"/>
              <w:right w:val="single" w:sz="4" w:space="0" w:color="auto"/>
            </w:tcBorders>
            <w:vAlign w:val="center"/>
          </w:tcPr>
          <w:p w14:paraId="5370D90F"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12" w:space="0" w:color="auto"/>
              <w:left w:val="single" w:sz="4" w:space="0" w:color="auto"/>
              <w:bottom w:val="single" w:sz="4" w:space="0" w:color="auto"/>
              <w:right w:val="single" w:sz="4" w:space="0" w:color="auto"/>
            </w:tcBorders>
            <w:vAlign w:val="center"/>
          </w:tcPr>
          <w:p w14:paraId="2B440392"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6B49B9D3"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066ABFED"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4851ACB5"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005B6BC8"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4E428AD5"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r>
      <w:tr w:rsidR="003A6686" w:rsidRPr="003A6686" w14:paraId="4007D52A"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28104B65" w14:textId="77777777" w:rsidR="002D5433" w:rsidRPr="003A6686" w:rsidRDefault="002D5433" w:rsidP="007022B4">
            <w:pPr>
              <w:jc w:val="center"/>
              <w:rPr>
                <w:rFonts w:ascii="Times New Roman" w:hAnsi="Times New Roman"/>
                <w:b/>
                <w:color w:val="FF0000"/>
                <w:sz w:val="20"/>
              </w:rPr>
            </w:pPr>
            <w:r w:rsidRPr="003A6686">
              <w:rPr>
                <w:rFonts w:ascii="Times New Roman" w:hAnsi="Times New Roman"/>
                <w:b/>
                <w:color w:val="FF0000"/>
                <w:sz w:val="20"/>
              </w:rPr>
              <w:t>2</w:t>
            </w:r>
          </w:p>
        </w:tc>
        <w:tc>
          <w:tcPr>
            <w:tcW w:w="0" w:type="auto"/>
            <w:tcBorders>
              <w:top w:val="single" w:sz="4" w:space="0" w:color="auto"/>
              <w:left w:val="single" w:sz="12" w:space="0" w:color="auto"/>
              <w:bottom w:val="single" w:sz="4" w:space="0" w:color="auto"/>
              <w:right w:val="single" w:sz="4" w:space="0" w:color="auto"/>
            </w:tcBorders>
            <w:vAlign w:val="center"/>
          </w:tcPr>
          <w:p w14:paraId="142929A0"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Water injection nozzle with thermal shielding tube</w:t>
            </w:r>
          </w:p>
        </w:tc>
        <w:tc>
          <w:tcPr>
            <w:tcW w:w="567" w:type="dxa"/>
            <w:tcBorders>
              <w:top w:val="single" w:sz="4" w:space="0" w:color="auto"/>
              <w:left w:val="single" w:sz="4" w:space="0" w:color="auto"/>
              <w:bottom w:val="single" w:sz="4" w:space="0" w:color="auto"/>
              <w:right w:val="single" w:sz="4" w:space="0" w:color="auto"/>
            </w:tcBorders>
            <w:vAlign w:val="center"/>
          </w:tcPr>
          <w:p w14:paraId="0A2EA0FE"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E2D6CA"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56C4CB"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C88F89"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6377B46"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980F3B1"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31176D0"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2E12961F"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078990AA" w14:textId="77777777" w:rsidR="002D5433" w:rsidRPr="003A6686" w:rsidRDefault="002D5433" w:rsidP="007022B4">
            <w:pPr>
              <w:jc w:val="center"/>
              <w:rPr>
                <w:rFonts w:ascii="Times New Roman" w:hAnsi="Times New Roman"/>
                <w:b/>
                <w:color w:val="FF0000"/>
                <w:sz w:val="20"/>
              </w:rPr>
            </w:pPr>
            <w:r w:rsidRPr="003A6686">
              <w:rPr>
                <w:rFonts w:ascii="Times New Roman" w:hAnsi="Times New Roman"/>
                <w:b/>
                <w:color w:val="FF0000"/>
                <w:sz w:val="20"/>
              </w:rPr>
              <w:t>3</w:t>
            </w:r>
          </w:p>
        </w:tc>
        <w:tc>
          <w:tcPr>
            <w:tcW w:w="0" w:type="auto"/>
            <w:tcBorders>
              <w:top w:val="single" w:sz="4" w:space="0" w:color="auto"/>
              <w:left w:val="single" w:sz="12" w:space="0" w:color="auto"/>
              <w:bottom w:val="single" w:sz="4" w:space="0" w:color="auto"/>
              <w:right w:val="single" w:sz="4" w:space="0" w:color="auto"/>
            </w:tcBorders>
            <w:vAlign w:val="center"/>
          </w:tcPr>
          <w:p w14:paraId="437F8C85"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Water injection collector and its location</w:t>
            </w:r>
          </w:p>
        </w:tc>
        <w:tc>
          <w:tcPr>
            <w:tcW w:w="567" w:type="dxa"/>
            <w:tcBorders>
              <w:top w:val="single" w:sz="4" w:space="0" w:color="auto"/>
              <w:left w:val="single" w:sz="4" w:space="0" w:color="auto"/>
              <w:bottom w:val="single" w:sz="4" w:space="0" w:color="auto"/>
              <w:right w:val="single" w:sz="4" w:space="0" w:color="auto"/>
            </w:tcBorders>
            <w:vAlign w:val="center"/>
          </w:tcPr>
          <w:p w14:paraId="0F3E9E17"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70438EAD"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C57722"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784FF5"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6A0468B"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DBF027C"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3CF2D88"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r>
      <w:tr w:rsidR="003A6686" w:rsidRPr="003A6686" w14:paraId="54C536B3"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1A15E354" w14:textId="77777777" w:rsidR="002D5433" w:rsidRPr="003A6686" w:rsidRDefault="002D5433" w:rsidP="007022B4">
            <w:pPr>
              <w:jc w:val="center"/>
              <w:rPr>
                <w:rFonts w:ascii="Times New Roman" w:hAnsi="Times New Roman"/>
                <w:b/>
                <w:color w:val="FF0000"/>
                <w:sz w:val="20"/>
              </w:rPr>
            </w:pPr>
            <w:r w:rsidRPr="003A6686">
              <w:rPr>
                <w:rFonts w:ascii="Times New Roman" w:hAnsi="Times New Roman"/>
                <w:b/>
                <w:color w:val="FF0000"/>
                <w:sz w:val="20"/>
              </w:rPr>
              <w:t>4</w:t>
            </w:r>
          </w:p>
        </w:tc>
        <w:tc>
          <w:tcPr>
            <w:tcW w:w="0" w:type="auto"/>
            <w:tcBorders>
              <w:top w:val="single" w:sz="4" w:space="0" w:color="auto"/>
              <w:left w:val="single" w:sz="12" w:space="0" w:color="auto"/>
              <w:bottom w:val="single" w:sz="4" w:space="0" w:color="auto"/>
              <w:right w:val="single" w:sz="4" w:space="0" w:color="auto"/>
            </w:tcBorders>
            <w:vAlign w:val="center"/>
          </w:tcPr>
          <w:p w14:paraId="54BECC9B"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Thermal shield and the connecting supports</w:t>
            </w:r>
          </w:p>
        </w:tc>
        <w:tc>
          <w:tcPr>
            <w:tcW w:w="567" w:type="dxa"/>
            <w:tcBorders>
              <w:top w:val="single" w:sz="4" w:space="0" w:color="auto"/>
              <w:left w:val="single" w:sz="4" w:space="0" w:color="auto"/>
              <w:bottom w:val="single" w:sz="4" w:space="0" w:color="auto"/>
              <w:right w:val="single" w:sz="4" w:space="0" w:color="auto"/>
            </w:tcBorders>
            <w:vAlign w:val="center"/>
          </w:tcPr>
          <w:p w14:paraId="36BC2DE7"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C39B75B"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D3BFFFD"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D87657"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8408A98"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F11E2C2"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34E86B"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3F343278"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2CD04519" w14:textId="77777777" w:rsidR="002D5433" w:rsidRPr="003A6686" w:rsidRDefault="002D5433" w:rsidP="007022B4">
            <w:pPr>
              <w:jc w:val="center"/>
              <w:rPr>
                <w:rFonts w:ascii="Times New Roman" w:hAnsi="Times New Roman"/>
                <w:b/>
                <w:color w:val="FF0000"/>
                <w:sz w:val="20"/>
              </w:rPr>
            </w:pPr>
            <w:r w:rsidRPr="003A6686">
              <w:rPr>
                <w:rFonts w:ascii="Times New Roman" w:hAnsi="Times New Roman"/>
                <w:b/>
                <w:color w:val="FF0000"/>
                <w:sz w:val="20"/>
              </w:rPr>
              <w:t>5</w:t>
            </w:r>
          </w:p>
        </w:tc>
        <w:tc>
          <w:tcPr>
            <w:tcW w:w="0" w:type="auto"/>
            <w:tcBorders>
              <w:top w:val="single" w:sz="4" w:space="0" w:color="auto"/>
              <w:left w:val="single" w:sz="12" w:space="0" w:color="auto"/>
              <w:bottom w:val="single" w:sz="4" w:space="0" w:color="auto"/>
              <w:right w:val="single" w:sz="4" w:space="0" w:color="auto"/>
            </w:tcBorders>
            <w:vAlign w:val="center"/>
          </w:tcPr>
          <w:p w14:paraId="4CF7A247" w14:textId="77777777" w:rsidR="002D5433" w:rsidRPr="003A6686" w:rsidRDefault="002D5433" w:rsidP="007022B4">
            <w:pPr>
              <w:snapToGrid w:val="0"/>
              <w:rPr>
                <w:rFonts w:ascii="Times New Roman" w:hAnsi="Times New Roman"/>
                <w:color w:val="FF0000"/>
                <w:sz w:val="20"/>
              </w:rPr>
            </w:pPr>
            <w:r w:rsidRPr="003A6686">
              <w:rPr>
                <w:rStyle w:val="Strong"/>
                <w:rFonts w:ascii="Times New Roman" w:hAnsi="Times New Roman"/>
                <w:color w:val="FF0000"/>
                <w:sz w:val="20"/>
              </w:rPr>
              <w:t>Pressurizer casing (incl. welds, cladding, particularly to water-steam boundary)</w:t>
            </w:r>
          </w:p>
        </w:tc>
        <w:tc>
          <w:tcPr>
            <w:tcW w:w="567" w:type="dxa"/>
            <w:tcBorders>
              <w:top w:val="single" w:sz="4" w:space="0" w:color="auto"/>
              <w:left w:val="single" w:sz="4" w:space="0" w:color="auto"/>
              <w:bottom w:val="single" w:sz="4" w:space="0" w:color="auto"/>
              <w:right w:val="single" w:sz="4" w:space="0" w:color="auto"/>
            </w:tcBorders>
            <w:vAlign w:val="center"/>
          </w:tcPr>
          <w:p w14:paraId="53196199"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FC20254"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DFF888"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4E2CBB"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116EC09"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769D08A"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71720B9B"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608418C5"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5080F47E" w14:textId="77777777" w:rsidR="002D5433" w:rsidRPr="003A6686" w:rsidRDefault="002D5433" w:rsidP="007022B4">
            <w:pPr>
              <w:jc w:val="center"/>
              <w:rPr>
                <w:rFonts w:ascii="Times New Roman" w:hAnsi="Times New Roman"/>
                <w:b/>
                <w:color w:val="FF0000"/>
                <w:sz w:val="20"/>
              </w:rPr>
            </w:pPr>
            <w:r w:rsidRPr="003A6686">
              <w:rPr>
                <w:rFonts w:ascii="Times New Roman" w:hAnsi="Times New Roman"/>
                <w:b/>
                <w:color w:val="FF0000"/>
                <w:sz w:val="20"/>
              </w:rPr>
              <w:t>6</w:t>
            </w:r>
          </w:p>
        </w:tc>
        <w:tc>
          <w:tcPr>
            <w:tcW w:w="0" w:type="auto"/>
            <w:tcBorders>
              <w:top w:val="single" w:sz="4" w:space="0" w:color="auto"/>
              <w:left w:val="single" w:sz="12" w:space="0" w:color="auto"/>
              <w:bottom w:val="single" w:sz="4" w:space="0" w:color="auto"/>
              <w:right w:val="single" w:sz="4" w:space="0" w:color="auto"/>
            </w:tcBorders>
            <w:vAlign w:val="center"/>
          </w:tcPr>
          <w:p w14:paraId="7E3069E0"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External surface of the vessel with the connected support structures and earthquake protection components.</w:t>
            </w:r>
          </w:p>
        </w:tc>
        <w:tc>
          <w:tcPr>
            <w:tcW w:w="567" w:type="dxa"/>
            <w:tcBorders>
              <w:top w:val="single" w:sz="4" w:space="0" w:color="auto"/>
              <w:left w:val="single" w:sz="4" w:space="0" w:color="auto"/>
              <w:bottom w:val="single" w:sz="4" w:space="0" w:color="auto"/>
              <w:right w:val="single" w:sz="4" w:space="0" w:color="auto"/>
            </w:tcBorders>
            <w:vAlign w:val="center"/>
          </w:tcPr>
          <w:p w14:paraId="225AA9FE"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B38333E"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6128D52"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0C43452"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217E3BD"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9889B1B"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8B345A9"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44963E94"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46B71622"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7</w:t>
            </w:r>
          </w:p>
        </w:tc>
        <w:tc>
          <w:tcPr>
            <w:tcW w:w="0" w:type="auto"/>
            <w:tcBorders>
              <w:top w:val="single" w:sz="4" w:space="0" w:color="auto"/>
              <w:left w:val="single" w:sz="12" w:space="0" w:color="auto"/>
              <w:bottom w:val="single" w:sz="4" w:space="0" w:color="auto"/>
              <w:right w:val="single" w:sz="4" w:space="0" w:color="auto"/>
            </w:tcBorders>
            <w:vAlign w:val="center"/>
          </w:tcPr>
          <w:p w14:paraId="78D8E4A6"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Bottom nozzle and the surge line</w:t>
            </w:r>
          </w:p>
        </w:tc>
        <w:tc>
          <w:tcPr>
            <w:tcW w:w="567" w:type="dxa"/>
            <w:tcBorders>
              <w:top w:val="single" w:sz="4" w:space="0" w:color="auto"/>
              <w:left w:val="single" w:sz="4" w:space="0" w:color="auto"/>
              <w:bottom w:val="single" w:sz="4" w:space="0" w:color="auto"/>
              <w:right w:val="single" w:sz="4" w:space="0" w:color="auto"/>
            </w:tcBorders>
            <w:vAlign w:val="center"/>
          </w:tcPr>
          <w:p w14:paraId="33C8AD64"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 xml:space="preserve">+ </w:t>
            </w:r>
            <w:r w:rsidRPr="003A6686">
              <w:rPr>
                <w:rFonts w:ascii="Times New Roman" w:hAnsi="Times New Roman"/>
                <w:b/>
                <w:color w:val="FF0000"/>
                <w:sz w:val="20"/>
              </w:rPr>
              <w:br/>
              <w:t>(inner radius cladding)</w:t>
            </w:r>
          </w:p>
        </w:tc>
        <w:tc>
          <w:tcPr>
            <w:tcW w:w="567" w:type="dxa"/>
            <w:tcBorders>
              <w:top w:val="single" w:sz="4" w:space="0" w:color="auto"/>
              <w:left w:val="single" w:sz="4" w:space="0" w:color="auto"/>
              <w:bottom w:val="single" w:sz="4" w:space="0" w:color="auto"/>
              <w:right w:val="single" w:sz="4" w:space="0" w:color="auto"/>
            </w:tcBorders>
            <w:vAlign w:val="center"/>
          </w:tcPr>
          <w:p w14:paraId="34B09D2F"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68AF554"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F28EE0"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3600EDA"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 xml:space="preserve">+ </w:t>
            </w:r>
            <w:r w:rsidRPr="003A6686">
              <w:rPr>
                <w:rFonts w:ascii="Times New Roman" w:hAnsi="Times New Roman"/>
                <w:b/>
                <w:color w:val="FF0000"/>
                <w:sz w:val="20"/>
              </w:rPr>
              <w:br/>
              <w:t>(under dissimilar weld)</w:t>
            </w:r>
          </w:p>
        </w:tc>
        <w:tc>
          <w:tcPr>
            <w:tcW w:w="567" w:type="dxa"/>
            <w:tcBorders>
              <w:top w:val="single" w:sz="4" w:space="0" w:color="auto"/>
              <w:left w:val="single" w:sz="4" w:space="0" w:color="auto"/>
              <w:bottom w:val="single" w:sz="4" w:space="0" w:color="auto"/>
              <w:right w:val="single" w:sz="4" w:space="0" w:color="auto"/>
            </w:tcBorders>
            <w:vAlign w:val="center"/>
          </w:tcPr>
          <w:p w14:paraId="0726951E"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E336428"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4FDA777C"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52EB8AE8"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8</w:t>
            </w:r>
          </w:p>
        </w:tc>
        <w:tc>
          <w:tcPr>
            <w:tcW w:w="0" w:type="auto"/>
            <w:tcBorders>
              <w:top w:val="single" w:sz="4" w:space="0" w:color="auto"/>
              <w:left w:val="single" w:sz="12" w:space="0" w:color="auto"/>
              <w:bottom w:val="single" w:sz="4" w:space="0" w:color="auto"/>
              <w:right w:val="single" w:sz="4" w:space="0" w:color="auto"/>
            </w:tcBorders>
            <w:vAlign w:val="center"/>
          </w:tcPr>
          <w:p w14:paraId="313CC9A3"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Heating battery support shield and the fastening elements</w:t>
            </w:r>
          </w:p>
        </w:tc>
        <w:tc>
          <w:tcPr>
            <w:tcW w:w="567" w:type="dxa"/>
            <w:tcBorders>
              <w:top w:val="single" w:sz="4" w:space="0" w:color="auto"/>
              <w:left w:val="single" w:sz="4" w:space="0" w:color="auto"/>
              <w:bottom w:val="single" w:sz="4" w:space="0" w:color="auto"/>
              <w:right w:val="single" w:sz="4" w:space="0" w:color="auto"/>
            </w:tcBorders>
            <w:vAlign w:val="center"/>
          </w:tcPr>
          <w:p w14:paraId="04104683"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6DD053"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2DDFDF5"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96478F3"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80A6B1"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887B8C7"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9C89A75" w14:textId="77777777" w:rsidR="002D5433" w:rsidRPr="003A6686" w:rsidRDefault="002D5433" w:rsidP="007022B4">
            <w:pPr>
              <w:snapToGrid w:val="0"/>
              <w:jc w:val="center"/>
              <w:rPr>
                <w:rFonts w:ascii="Times New Roman" w:hAnsi="Times New Roman"/>
                <w:b/>
                <w:color w:val="FF0000"/>
                <w:sz w:val="20"/>
              </w:rPr>
            </w:pPr>
          </w:p>
        </w:tc>
      </w:tr>
      <w:tr w:rsidR="003A6686" w:rsidRPr="003A6686" w14:paraId="2F2A1B4B" w14:textId="77777777" w:rsidTr="002D5433">
        <w:trPr>
          <w:trHeight w:val="567"/>
          <w:jc w:val="center"/>
        </w:trPr>
        <w:tc>
          <w:tcPr>
            <w:tcW w:w="0" w:type="auto"/>
            <w:tcBorders>
              <w:top w:val="single" w:sz="4" w:space="0" w:color="auto"/>
              <w:left w:val="single" w:sz="12" w:space="0" w:color="auto"/>
              <w:bottom w:val="single" w:sz="4" w:space="0" w:color="auto"/>
              <w:right w:val="single" w:sz="12" w:space="0" w:color="auto"/>
            </w:tcBorders>
            <w:vAlign w:val="center"/>
          </w:tcPr>
          <w:p w14:paraId="0B26A8FE"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9</w:t>
            </w:r>
          </w:p>
        </w:tc>
        <w:tc>
          <w:tcPr>
            <w:tcW w:w="0" w:type="auto"/>
            <w:tcBorders>
              <w:top w:val="single" w:sz="4" w:space="0" w:color="auto"/>
              <w:left w:val="single" w:sz="12" w:space="0" w:color="auto"/>
              <w:bottom w:val="single" w:sz="4" w:space="0" w:color="auto"/>
              <w:right w:val="single" w:sz="4" w:space="0" w:color="auto"/>
            </w:tcBorders>
            <w:vAlign w:val="center"/>
          </w:tcPr>
          <w:p w14:paraId="652DBCB0"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Nozzles of the electrical heating batteries, the battery linings, cladding of the nozzle location</w:t>
            </w:r>
          </w:p>
        </w:tc>
        <w:tc>
          <w:tcPr>
            <w:tcW w:w="567" w:type="dxa"/>
            <w:tcBorders>
              <w:top w:val="single" w:sz="4" w:space="0" w:color="auto"/>
              <w:left w:val="single" w:sz="4" w:space="0" w:color="auto"/>
              <w:bottom w:val="single" w:sz="4" w:space="0" w:color="auto"/>
              <w:right w:val="single" w:sz="4" w:space="0" w:color="auto"/>
            </w:tcBorders>
            <w:vAlign w:val="center"/>
          </w:tcPr>
          <w:p w14:paraId="26AC906B"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52D229A"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F953D97"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B68CD48"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E980DB7"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7A52CEB0"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5D03264" w14:textId="77777777" w:rsidR="002D5433" w:rsidRPr="003A6686" w:rsidRDefault="002D5433" w:rsidP="007022B4">
            <w:pPr>
              <w:snapToGrid w:val="0"/>
              <w:jc w:val="center"/>
              <w:rPr>
                <w:rFonts w:ascii="Times New Roman" w:hAnsi="Times New Roman"/>
                <w:b/>
                <w:color w:val="FF0000"/>
                <w:sz w:val="20"/>
              </w:rPr>
            </w:pPr>
          </w:p>
        </w:tc>
      </w:tr>
      <w:tr w:rsidR="002D5433" w:rsidRPr="003A6686" w14:paraId="2339B69F" w14:textId="77777777" w:rsidTr="002D5433">
        <w:trPr>
          <w:trHeight w:val="567"/>
          <w:jc w:val="center"/>
        </w:trPr>
        <w:tc>
          <w:tcPr>
            <w:tcW w:w="0" w:type="auto"/>
            <w:tcBorders>
              <w:top w:val="single" w:sz="4" w:space="0" w:color="auto"/>
              <w:left w:val="single" w:sz="12" w:space="0" w:color="auto"/>
              <w:bottom w:val="single" w:sz="12" w:space="0" w:color="auto"/>
              <w:right w:val="single" w:sz="12" w:space="0" w:color="auto"/>
            </w:tcBorders>
            <w:vAlign w:val="center"/>
          </w:tcPr>
          <w:p w14:paraId="7D65D479"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10</w:t>
            </w:r>
          </w:p>
        </w:tc>
        <w:tc>
          <w:tcPr>
            <w:tcW w:w="0" w:type="auto"/>
            <w:tcBorders>
              <w:top w:val="single" w:sz="4" w:space="0" w:color="auto"/>
              <w:left w:val="single" w:sz="12" w:space="0" w:color="auto"/>
              <w:bottom w:val="single" w:sz="12" w:space="0" w:color="auto"/>
              <w:right w:val="single" w:sz="4" w:space="0" w:color="auto"/>
            </w:tcBorders>
            <w:vAlign w:val="center"/>
          </w:tcPr>
          <w:p w14:paraId="46952A0E" w14:textId="77777777" w:rsidR="002D5433" w:rsidRPr="003A6686" w:rsidRDefault="002D5433" w:rsidP="007022B4">
            <w:pPr>
              <w:snapToGrid w:val="0"/>
              <w:rPr>
                <w:rFonts w:ascii="Times New Roman" w:hAnsi="Times New Roman"/>
                <w:b/>
                <w:color w:val="FF0000"/>
                <w:sz w:val="20"/>
              </w:rPr>
            </w:pPr>
            <w:r w:rsidRPr="003A6686">
              <w:rPr>
                <w:rFonts w:ascii="Times New Roman" w:hAnsi="Times New Roman"/>
                <w:b/>
                <w:color w:val="FF0000"/>
                <w:sz w:val="20"/>
              </w:rPr>
              <w:t>Measurement nozzles</w:t>
            </w:r>
          </w:p>
        </w:tc>
        <w:tc>
          <w:tcPr>
            <w:tcW w:w="567" w:type="dxa"/>
            <w:tcBorders>
              <w:top w:val="single" w:sz="4" w:space="0" w:color="auto"/>
              <w:left w:val="single" w:sz="4" w:space="0" w:color="auto"/>
              <w:bottom w:val="single" w:sz="12" w:space="0" w:color="auto"/>
              <w:right w:val="single" w:sz="4" w:space="0" w:color="auto"/>
            </w:tcBorders>
            <w:vAlign w:val="center"/>
          </w:tcPr>
          <w:p w14:paraId="637B3DEA"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12" w:space="0" w:color="auto"/>
              <w:right w:val="single" w:sz="4" w:space="0" w:color="auto"/>
            </w:tcBorders>
            <w:vAlign w:val="center"/>
          </w:tcPr>
          <w:p w14:paraId="0A032A41"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12" w:space="0" w:color="auto"/>
              <w:right w:val="single" w:sz="4" w:space="0" w:color="auto"/>
            </w:tcBorders>
            <w:vAlign w:val="center"/>
          </w:tcPr>
          <w:p w14:paraId="3678B6D6"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12" w:space="0" w:color="auto"/>
              <w:right w:val="single" w:sz="4" w:space="0" w:color="auto"/>
            </w:tcBorders>
            <w:vAlign w:val="center"/>
          </w:tcPr>
          <w:p w14:paraId="500B048F"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12" w:space="0" w:color="auto"/>
              <w:right w:val="single" w:sz="4" w:space="0" w:color="auto"/>
            </w:tcBorders>
            <w:vAlign w:val="center"/>
          </w:tcPr>
          <w:p w14:paraId="51BAD377" w14:textId="77777777" w:rsidR="002D5433" w:rsidRPr="003A6686" w:rsidRDefault="002D5433" w:rsidP="007022B4">
            <w:pPr>
              <w:snapToGrid w:val="0"/>
              <w:jc w:val="center"/>
              <w:rPr>
                <w:rFonts w:ascii="Times New Roman" w:hAnsi="Times New Roman"/>
                <w:b/>
                <w:color w:val="FF0000"/>
                <w:sz w:val="20"/>
              </w:rPr>
            </w:pPr>
          </w:p>
        </w:tc>
        <w:tc>
          <w:tcPr>
            <w:tcW w:w="567" w:type="dxa"/>
            <w:tcBorders>
              <w:top w:val="single" w:sz="4" w:space="0" w:color="auto"/>
              <w:left w:val="single" w:sz="4" w:space="0" w:color="auto"/>
              <w:bottom w:val="single" w:sz="12" w:space="0" w:color="auto"/>
              <w:right w:val="single" w:sz="4" w:space="0" w:color="auto"/>
            </w:tcBorders>
            <w:vAlign w:val="center"/>
          </w:tcPr>
          <w:p w14:paraId="074F5D31" w14:textId="77777777" w:rsidR="002D5433" w:rsidRPr="003A6686" w:rsidRDefault="002D5433" w:rsidP="007022B4">
            <w:pPr>
              <w:snapToGrid w:val="0"/>
              <w:jc w:val="center"/>
              <w:rPr>
                <w:rFonts w:ascii="Times New Roman" w:hAnsi="Times New Roman"/>
                <w:b/>
                <w:color w:val="FF0000"/>
                <w:sz w:val="20"/>
              </w:rPr>
            </w:pPr>
            <w:r w:rsidRPr="003A6686">
              <w:rPr>
                <w:rFonts w:ascii="Times New Roman" w:hAnsi="Times New Roman"/>
                <w:b/>
                <w:color w:val="FF0000"/>
                <w:sz w:val="20"/>
              </w:rPr>
              <w:t>+</w:t>
            </w:r>
          </w:p>
        </w:tc>
        <w:tc>
          <w:tcPr>
            <w:tcW w:w="567" w:type="dxa"/>
            <w:tcBorders>
              <w:top w:val="single" w:sz="4" w:space="0" w:color="auto"/>
              <w:left w:val="single" w:sz="4" w:space="0" w:color="auto"/>
              <w:bottom w:val="single" w:sz="12" w:space="0" w:color="auto"/>
              <w:right w:val="single" w:sz="4" w:space="0" w:color="auto"/>
            </w:tcBorders>
            <w:vAlign w:val="center"/>
          </w:tcPr>
          <w:p w14:paraId="0AB6D5EE" w14:textId="77777777" w:rsidR="002D5433" w:rsidRPr="003A6686" w:rsidRDefault="002D5433" w:rsidP="007022B4">
            <w:pPr>
              <w:snapToGrid w:val="0"/>
              <w:jc w:val="center"/>
              <w:rPr>
                <w:rFonts w:ascii="Times New Roman" w:hAnsi="Times New Roman"/>
                <w:b/>
                <w:color w:val="FF0000"/>
                <w:sz w:val="20"/>
              </w:rPr>
            </w:pPr>
          </w:p>
        </w:tc>
      </w:tr>
    </w:tbl>
    <w:p w14:paraId="781FBD36" w14:textId="77777777" w:rsidR="002D5433" w:rsidRPr="003A6686" w:rsidRDefault="002D5433" w:rsidP="00300854">
      <w:pPr>
        <w:pStyle w:val="Body"/>
        <w:tabs>
          <w:tab w:val="clear" w:pos="360"/>
        </w:tabs>
        <w:spacing w:before="0" w:line="276" w:lineRule="auto"/>
        <w:ind w:left="0" w:firstLine="0"/>
        <w:jc w:val="both"/>
        <w:rPr>
          <w:rFonts w:ascii="Times New Roman" w:hAnsi="Times New Roman"/>
          <w:color w:val="FF0000"/>
          <w:sz w:val="24"/>
          <w:szCs w:val="24"/>
          <w:lang w:val="en-GB"/>
        </w:rPr>
      </w:pPr>
    </w:p>
    <w:p w14:paraId="74AABD72" w14:textId="77777777" w:rsidR="004F35A0" w:rsidRPr="003A6686" w:rsidRDefault="004F35A0" w:rsidP="004F35A0">
      <w:pPr>
        <w:pStyle w:val="Caption"/>
        <w:rPr>
          <w:b/>
          <w:color w:val="FF0000"/>
        </w:rPr>
      </w:pPr>
      <w:r w:rsidRPr="003A6686">
        <w:rPr>
          <w:b/>
          <w:color w:val="FF0000"/>
        </w:rPr>
        <w:t xml:space="preserve">Table 1. </w:t>
      </w:r>
      <w:r w:rsidRPr="003A6686">
        <w:rPr>
          <w:color w:val="FF0000"/>
        </w:rPr>
        <w:t>Example of pressurizer critical locations and degradation mechanisms</w:t>
      </w:r>
      <w:r w:rsidRPr="003A6686">
        <w:rPr>
          <w:b/>
          <w:color w:val="FF0000"/>
        </w:rPr>
        <w:t xml:space="preserve"> </w:t>
      </w:r>
    </w:p>
    <w:p w14:paraId="5532AFEE" w14:textId="77777777" w:rsidR="004F35A0" w:rsidRPr="003A6686" w:rsidRDefault="004F35A0" w:rsidP="00300854">
      <w:pPr>
        <w:pStyle w:val="Body"/>
        <w:tabs>
          <w:tab w:val="clear" w:pos="360"/>
        </w:tabs>
        <w:spacing w:before="0" w:line="276" w:lineRule="auto"/>
        <w:ind w:left="0" w:firstLine="0"/>
        <w:jc w:val="both"/>
        <w:rPr>
          <w:rFonts w:ascii="Times New Roman" w:hAnsi="Times New Roman"/>
          <w:color w:val="FF0000"/>
          <w:sz w:val="24"/>
          <w:szCs w:val="24"/>
          <w:lang w:val="en-GB"/>
        </w:rPr>
      </w:pPr>
    </w:p>
    <w:p w14:paraId="14941E7F" w14:textId="77777777" w:rsidR="004F35A0" w:rsidRPr="000911D1" w:rsidRDefault="00D82700" w:rsidP="004F35A0">
      <w:pPr>
        <w:pStyle w:val="Caption"/>
        <w:jc w:val="both"/>
        <w:rPr>
          <w:b/>
        </w:rPr>
      </w:pPr>
      <w:bookmarkStart w:id="0" w:name="_GoBack"/>
      <w:r>
        <w:rPr>
          <w:noProof/>
          <w:lang w:val="de-CH" w:eastAsia="de-CH"/>
        </w:rPr>
        <w:lastRenderedPageBreak/>
        <w:drawing>
          <wp:inline distT="0" distB="0" distL="0" distR="0" wp14:anchorId="33C8A5E2" wp14:editId="3390972F">
            <wp:extent cx="5143500" cy="6858000"/>
            <wp:effectExtent l="0" t="0" r="0" b="0"/>
            <wp:docPr id="1" name="Kép 1" descr="TK_raj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TK_raj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6858000"/>
                    </a:xfrm>
                    <a:prstGeom prst="rect">
                      <a:avLst/>
                    </a:prstGeom>
                    <a:noFill/>
                    <a:ln>
                      <a:noFill/>
                    </a:ln>
                  </pic:spPr>
                </pic:pic>
              </a:graphicData>
            </a:graphic>
          </wp:inline>
        </w:drawing>
      </w:r>
      <w:bookmarkEnd w:id="0"/>
    </w:p>
    <w:p w14:paraId="1162AA3B" w14:textId="77777777" w:rsidR="004F35A0" w:rsidRDefault="0080664C" w:rsidP="004F35A0">
      <w:pPr>
        <w:pStyle w:val="Caption"/>
        <w:rPr>
          <w:b/>
        </w:rPr>
      </w:pPr>
      <w:r w:rsidRPr="003A6686">
        <w:rPr>
          <w:b/>
          <w:color w:val="FF0000"/>
        </w:rPr>
        <w:t>Figure</w:t>
      </w:r>
      <w:r w:rsidR="004F35A0" w:rsidRPr="003A6686">
        <w:rPr>
          <w:b/>
          <w:color w:val="FF0000"/>
        </w:rPr>
        <w:t xml:space="preserve"> 1. </w:t>
      </w:r>
      <w:r w:rsidR="004F35A0" w:rsidRPr="003A6686">
        <w:rPr>
          <w:color w:val="FF0000"/>
        </w:rPr>
        <w:t>Pressurizer with the critical locations</w:t>
      </w:r>
      <w:r w:rsidR="004F35A0" w:rsidRPr="003A6686">
        <w:rPr>
          <w:b/>
          <w:color w:val="FF0000"/>
        </w:rPr>
        <w:t xml:space="preserve"> </w:t>
      </w:r>
    </w:p>
    <w:p w14:paraId="112966D6" w14:textId="77777777" w:rsidR="00E65323" w:rsidRPr="002B144A" w:rsidRDefault="00E65323" w:rsidP="00300854">
      <w:pPr>
        <w:pStyle w:val="Body"/>
        <w:tabs>
          <w:tab w:val="clear" w:pos="360"/>
        </w:tabs>
        <w:spacing w:before="0" w:line="276" w:lineRule="auto"/>
        <w:ind w:left="0" w:firstLine="0"/>
        <w:jc w:val="both"/>
        <w:rPr>
          <w:rFonts w:ascii="Times New Roman" w:hAnsi="Times New Roman"/>
          <w:sz w:val="24"/>
          <w:szCs w:val="24"/>
          <w:lang w:val="en-GB"/>
        </w:rPr>
      </w:pPr>
    </w:p>
    <w:p w14:paraId="7C5AEB91"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Preventive actions to minimize and control ageing degradation</w:t>
      </w:r>
      <w:r w:rsidR="00DE0A26" w:rsidRPr="002B144A">
        <w:rPr>
          <w:rFonts w:ascii="Times New Roman" w:hAnsi="Times New Roman"/>
          <w:b/>
          <w:i/>
          <w:sz w:val="24"/>
          <w:szCs w:val="24"/>
          <w:lang w:val="en-GB"/>
        </w:rPr>
        <w:t>:</w:t>
      </w:r>
    </w:p>
    <w:p w14:paraId="470C12FC" w14:textId="77777777" w:rsidR="00F74699" w:rsidRPr="002B144A" w:rsidRDefault="009A7659"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The preventive actions are carried out during normal operation via monitoring and management of water chemistry conditions. These actions could eliminate potential adverse effects of water chemistry on the ageing mechanisms.</w:t>
      </w:r>
      <w:r w:rsidR="00925819" w:rsidRPr="002B144A">
        <w:rPr>
          <w:rFonts w:ascii="Times New Roman" w:hAnsi="Times New Roman"/>
          <w:sz w:val="24"/>
          <w:szCs w:val="24"/>
          <w:lang w:val="en-GB"/>
        </w:rPr>
        <w:t xml:space="preserve"> The programme description</w:t>
      </w:r>
      <w:r w:rsidRPr="002B144A">
        <w:rPr>
          <w:rFonts w:ascii="Times New Roman" w:hAnsi="Times New Roman"/>
          <w:sz w:val="24"/>
          <w:szCs w:val="24"/>
          <w:lang w:val="en-GB"/>
        </w:rPr>
        <w:t xml:space="preserve">, </w:t>
      </w:r>
      <w:r w:rsidR="00925819" w:rsidRPr="002B144A">
        <w:rPr>
          <w:rFonts w:ascii="Times New Roman" w:hAnsi="Times New Roman"/>
          <w:sz w:val="24"/>
          <w:szCs w:val="24"/>
          <w:lang w:val="en-GB"/>
        </w:rPr>
        <w:t>evaluation and technical basis f</w:t>
      </w:r>
      <w:r w:rsidRPr="002B144A">
        <w:rPr>
          <w:rFonts w:ascii="Times New Roman" w:hAnsi="Times New Roman"/>
          <w:sz w:val="24"/>
          <w:szCs w:val="24"/>
          <w:lang w:val="en-GB"/>
        </w:rPr>
        <w:t>or</w:t>
      </w:r>
      <w:r w:rsidR="00925819" w:rsidRPr="002B144A">
        <w:rPr>
          <w:rFonts w:ascii="Times New Roman" w:hAnsi="Times New Roman"/>
          <w:sz w:val="24"/>
          <w:szCs w:val="24"/>
          <w:lang w:val="en-GB"/>
        </w:rPr>
        <w:t xml:space="preserve"> monitoring and maintaining </w:t>
      </w:r>
      <w:r w:rsidRPr="002B144A">
        <w:rPr>
          <w:rFonts w:ascii="Times New Roman" w:hAnsi="Times New Roman"/>
          <w:sz w:val="24"/>
          <w:szCs w:val="24"/>
          <w:lang w:val="en-GB"/>
        </w:rPr>
        <w:t xml:space="preserve">of </w:t>
      </w:r>
      <w:r w:rsidR="00925819" w:rsidRPr="002B144A">
        <w:rPr>
          <w:rFonts w:ascii="Times New Roman" w:hAnsi="Times New Roman"/>
          <w:sz w:val="24"/>
          <w:szCs w:val="24"/>
          <w:lang w:val="en-GB"/>
        </w:rPr>
        <w:t>reactor coolant chemistry are addressed in AMP</w:t>
      </w:r>
      <w:r w:rsidR="00300854">
        <w:rPr>
          <w:rFonts w:ascii="Times New Roman" w:hAnsi="Times New Roman"/>
          <w:sz w:val="24"/>
          <w:szCs w:val="24"/>
          <w:lang w:val="en-GB"/>
        </w:rPr>
        <w:t xml:space="preserve"> </w:t>
      </w:r>
      <w:r w:rsidR="00925819" w:rsidRPr="002B144A">
        <w:rPr>
          <w:rFonts w:ascii="Times New Roman" w:hAnsi="Times New Roman"/>
          <w:sz w:val="24"/>
          <w:szCs w:val="24"/>
          <w:lang w:val="en-GB"/>
        </w:rPr>
        <w:t>103</w:t>
      </w:r>
      <w:r w:rsidR="00C64024" w:rsidRPr="002B144A">
        <w:rPr>
          <w:rFonts w:ascii="Times New Roman" w:hAnsi="Times New Roman"/>
          <w:sz w:val="24"/>
          <w:szCs w:val="24"/>
          <w:lang w:val="en-GB"/>
        </w:rPr>
        <w:t>.</w:t>
      </w:r>
    </w:p>
    <w:p w14:paraId="35412A62" w14:textId="77777777" w:rsidR="00FE4E79" w:rsidRPr="002B144A" w:rsidRDefault="00E81A93"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lastRenderedPageBreak/>
        <w:t xml:space="preserve">Other preventive action is regular maintenance according to approved schedule (such as general repair, inspection of sealing screw tightness and </w:t>
      </w:r>
      <w:r w:rsidR="009154A0" w:rsidRPr="002B144A">
        <w:rPr>
          <w:rFonts w:ascii="Times New Roman" w:hAnsi="Times New Roman"/>
          <w:sz w:val="24"/>
          <w:szCs w:val="24"/>
          <w:lang w:val="en-GB"/>
        </w:rPr>
        <w:t>inspection program</w:t>
      </w:r>
      <w:r w:rsidR="00300854">
        <w:rPr>
          <w:rFonts w:ascii="Times New Roman" w:hAnsi="Times New Roman"/>
          <w:sz w:val="24"/>
          <w:szCs w:val="24"/>
          <w:lang w:val="en-GB"/>
        </w:rPr>
        <w:t>me</w:t>
      </w:r>
      <w:r w:rsidR="009154A0" w:rsidRPr="002B144A">
        <w:rPr>
          <w:rFonts w:ascii="Times New Roman" w:hAnsi="Times New Roman"/>
          <w:sz w:val="24"/>
          <w:szCs w:val="24"/>
          <w:lang w:val="en-GB"/>
        </w:rPr>
        <w:t xml:space="preserve"> of the hermetic area</w:t>
      </w:r>
      <w:r w:rsidRPr="002B144A">
        <w:rPr>
          <w:rFonts w:ascii="Times New Roman" w:hAnsi="Times New Roman"/>
          <w:sz w:val="24"/>
          <w:szCs w:val="24"/>
          <w:lang w:val="en-GB"/>
        </w:rPr>
        <w:t xml:space="preserve">). </w:t>
      </w:r>
    </w:p>
    <w:p w14:paraId="2003CD77" w14:textId="77777777" w:rsidR="00816E2D" w:rsidRDefault="00816E2D"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Preventive actions for low cycle fatigue </w:t>
      </w:r>
      <w:r w:rsidR="009A7659" w:rsidRPr="002B144A">
        <w:rPr>
          <w:rFonts w:ascii="Times New Roman" w:hAnsi="Times New Roman"/>
          <w:sz w:val="24"/>
          <w:szCs w:val="24"/>
          <w:lang w:val="en-GB"/>
        </w:rPr>
        <w:t xml:space="preserve">include </w:t>
      </w:r>
      <w:r w:rsidRPr="002B144A">
        <w:rPr>
          <w:rFonts w:ascii="Times New Roman" w:hAnsi="Times New Roman"/>
          <w:sz w:val="24"/>
          <w:szCs w:val="24"/>
          <w:lang w:val="en-GB"/>
        </w:rPr>
        <w:t>reduction of transients and keeping limits and conditions.</w:t>
      </w:r>
    </w:p>
    <w:p w14:paraId="4CEE1C3B" w14:textId="77777777" w:rsidR="00E65323" w:rsidRPr="002B144A" w:rsidRDefault="00E65323" w:rsidP="00D365B9">
      <w:pPr>
        <w:pStyle w:val="Body"/>
        <w:tabs>
          <w:tab w:val="clear" w:pos="360"/>
        </w:tabs>
        <w:ind w:left="0" w:firstLine="0"/>
        <w:jc w:val="both"/>
        <w:rPr>
          <w:rFonts w:ascii="Times New Roman" w:hAnsi="Times New Roman"/>
          <w:sz w:val="24"/>
          <w:szCs w:val="24"/>
          <w:lang w:val="en-GB"/>
        </w:rPr>
      </w:pPr>
    </w:p>
    <w:p w14:paraId="65BDE0A4"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Detection of ageing effects</w:t>
      </w:r>
      <w:r w:rsidR="00DE0A26" w:rsidRPr="002B144A">
        <w:rPr>
          <w:rFonts w:ascii="Times New Roman" w:hAnsi="Times New Roman"/>
          <w:b/>
          <w:i/>
          <w:sz w:val="24"/>
          <w:szCs w:val="24"/>
          <w:lang w:val="en-GB"/>
        </w:rPr>
        <w:t>:</w:t>
      </w:r>
    </w:p>
    <w:p w14:paraId="405FF248" w14:textId="77777777" w:rsidR="00816E2D" w:rsidRPr="002B144A" w:rsidRDefault="008A627E"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The </w:t>
      </w:r>
      <w:r w:rsidR="00B877B7" w:rsidRPr="002B144A">
        <w:rPr>
          <w:rFonts w:ascii="Times New Roman" w:hAnsi="Times New Roman"/>
          <w:sz w:val="24"/>
          <w:szCs w:val="24"/>
          <w:lang w:val="en-GB"/>
        </w:rPr>
        <w:t xml:space="preserve">pressurizer is </w:t>
      </w:r>
      <w:r w:rsidRPr="002B144A">
        <w:rPr>
          <w:rFonts w:ascii="Times New Roman" w:hAnsi="Times New Roman"/>
          <w:sz w:val="24"/>
          <w:szCs w:val="24"/>
          <w:lang w:val="en-GB"/>
        </w:rPr>
        <w:t>inspected</w:t>
      </w:r>
      <w:r w:rsidR="00AA2107" w:rsidRPr="002B144A">
        <w:rPr>
          <w:rFonts w:ascii="Times New Roman" w:hAnsi="Times New Roman"/>
          <w:sz w:val="24"/>
          <w:szCs w:val="24"/>
          <w:lang w:val="en-GB"/>
        </w:rPr>
        <w:t xml:space="preserve"> and tested</w:t>
      </w:r>
      <w:r w:rsidRPr="002B144A">
        <w:rPr>
          <w:rFonts w:ascii="Times New Roman" w:hAnsi="Times New Roman"/>
          <w:sz w:val="24"/>
          <w:szCs w:val="24"/>
          <w:lang w:val="en-GB"/>
        </w:rPr>
        <w:t xml:space="preserve"> according to </w:t>
      </w:r>
      <w:r w:rsidR="00564AAB">
        <w:rPr>
          <w:rFonts w:ascii="Times New Roman" w:hAnsi="Times New Roman"/>
          <w:sz w:val="24"/>
          <w:szCs w:val="24"/>
          <w:lang w:val="en-GB"/>
        </w:rPr>
        <w:t xml:space="preserve">the </w:t>
      </w:r>
      <w:r w:rsidRPr="002B144A">
        <w:rPr>
          <w:rFonts w:ascii="Times New Roman" w:hAnsi="Times New Roman"/>
          <w:sz w:val="24"/>
          <w:szCs w:val="24"/>
          <w:lang w:val="en-GB"/>
        </w:rPr>
        <w:t xml:space="preserve">requirements </w:t>
      </w:r>
      <w:r w:rsidR="00564AAB">
        <w:rPr>
          <w:rFonts w:ascii="Times New Roman" w:hAnsi="Times New Roman"/>
          <w:sz w:val="24"/>
          <w:szCs w:val="24"/>
          <w:lang w:val="en-GB"/>
        </w:rPr>
        <w:t xml:space="preserve">of </w:t>
      </w:r>
      <w:r w:rsidR="00564AAB" w:rsidRPr="00564AAB">
        <w:rPr>
          <w:rFonts w:ascii="Times New Roman" w:hAnsi="Times New Roman"/>
          <w:sz w:val="24"/>
          <w:szCs w:val="24"/>
          <w:lang w:val="en-GB"/>
        </w:rPr>
        <w:t>AMP</w:t>
      </w:r>
      <w:r w:rsidR="00300854">
        <w:rPr>
          <w:rFonts w:ascii="Times New Roman" w:hAnsi="Times New Roman"/>
          <w:sz w:val="24"/>
          <w:szCs w:val="24"/>
          <w:lang w:val="en-GB"/>
        </w:rPr>
        <w:t xml:space="preserve"> </w:t>
      </w:r>
      <w:r w:rsidR="00564AAB" w:rsidRPr="00564AAB">
        <w:rPr>
          <w:rFonts w:ascii="Times New Roman" w:hAnsi="Times New Roman"/>
          <w:sz w:val="24"/>
          <w:szCs w:val="24"/>
          <w:lang w:val="en-GB"/>
        </w:rPr>
        <w:t>102</w:t>
      </w:r>
      <w:r w:rsidRPr="002B144A">
        <w:rPr>
          <w:rFonts w:ascii="Times New Roman" w:hAnsi="Times New Roman"/>
          <w:sz w:val="24"/>
          <w:szCs w:val="24"/>
          <w:lang w:val="en-GB"/>
        </w:rPr>
        <w:t>. Non</w:t>
      </w:r>
      <w:r w:rsidR="00A83D85" w:rsidRPr="002B144A">
        <w:rPr>
          <w:rFonts w:ascii="Times New Roman" w:hAnsi="Times New Roman"/>
          <w:sz w:val="24"/>
          <w:szCs w:val="24"/>
          <w:lang w:val="en-GB"/>
        </w:rPr>
        <w:t>-</w:t>
      </w:r>
      <w:r w:rsidRPr="002B144A">
        <w:rPr>
          <w:rFonts w:ascii="Times New Roman" w:hAnsi="Times New Roman"/>
          <w:sz w:val="24"/>
          <w:szCs w:val="24"/>
          <w:lang w:val="en-GB"/>
        </w:rPr>
        <w:t xml:space="preserve">destructive methods </w:t>
      </w:r>
      <w:r w:rsidR="00841FBD" w:rsidRPr="002B144A">
        <w:rPr>
          <w:rFonts w:ascii="Times New Roman" w:hAnsi="Times New Roman"/>
          <w:sz w:val="24"/>
          <w:szCs w:val="24"/>
          <w:lang w:val="en-GB"/>
        </w:rPr>
        <w:t xml:space="preserve">such </w:t>
      </w:r>
      <w:r w:rsidRPr="002B144A">
        <w:rPr>
          <w:rFonts w:ascii="Times New Roman" w:hAnsi="Times New Roman"/>
          <w:sz w:val="24"/>
          <w:szCs w:val="24"/>
          <w:lang w:val="en-GB"/>
        </w:rPr>
        <w:t xml:space="preserve">as visual examination, capillary </w:t>
      </w:r>
      <w:r w:rsidR="004E729B" w:rsidRPr="002B144A">
        <w:rPr>
          <w:rFonts w:ascii="Times New Roman" w:hAnsi="Times New Roman"/>
          <w:sz w:val="24"/>
          <w:szCs w:val="24"/>
          <w:lang w:val="en-GB"/>
        </w:rPr>
        <w:t>test to detect surface cracks</w:t>
      </w:r>
      <w:r w:rsidRPr="002B144A">
        <w:rPr>
          <w:rFonts w:ascii="Times New Roman" w:hAnsi="Times New Roman"/>
          <w:sz w:val="24"/>
          <w:szCs w:val="24"/>
          <w:lang w:val="en-GB"/>
        </w:rPr>
        <w:t>, dimension</w:t>
      </w:r>
      <w:r w:rsidR="00312DA5" w:rsidRPr="002B144A">
        <w:rPr>
          <w:rFonts w:ascii="Times New Roman" w:hAnsi="Times New Roman"/>
          <w:sz w:val="24"/>
          <w:szCs w:val="24"/>
          <w:lang w:val="en-GB"/>
        </w:rPr>
        <w:t>al</w:t>
      </w:r>
      <w:r w:rsidR="00BD1255" w:rsidRPr="002B144A">
        <w:rPr>
          <w:rFonts w:ascii="Times New Roman" w:hAnsi="Times New Roman"/>
          <w:sz w:val="24"/>
          <w:szCs w:val="24"/>
          <w:lang w:val="en-GB"/>
        </w:rPr>
        <w:t xml:space="preserve"> control and</w:t>
      </w:r>
      <w:r w:rsidRPr="002B144A">
        <w:rPr>
          <w:rFonts w:ascii="Times New Roman" w:hAnsi="Times New Roman"/>
          <w:sz w:val="24"/>
          <w:szCs w:val="24"/>
          <w:lang w:val="en-GB"/>
        </w:rPr>
        <w:t xml:space="preserve"> ultrasonic examination</w:t>
      </w:r>
      <w:r w:rsidR="009A7659" w:rsidRPr="002B144A">
        <w:rPr>
          <w:rFonts w:ascii="Times New Roman" w:hAnsi="Times New Roman"/>
          <w:sz w:val="24"/>
          <w:szCs w:val="24"/>
          <w:lang w:val="en-GB"/>
        </w:rPr>
        <w:t xml:space="preserve"> may be used</w:t>
      </w:r>
      <w:r w:rsidRPr="002B144A">
        <w:rPr>
          <w:rFonts w:ascii="Times New Roman" w:hAnsi="Times New Roman"/>
          <w:sz w:val="24"/>
          <w:szCs w:val="24"/>
          <w:lang w:val="en-GB"/>
        </w:rPr>
        <w:t xml:space="preserve">. It is expected that </w:t>
      </w:r>
      <w:r w:rsidR="00AA2107" w:rsidRPr="002B144A">
        <w:rPr>
          <w:rFonts w:ascii="Times New Roman" w:hAnsi="Times New Roman"/>
          <w:sz w:val="24"/>
          <w:szCs w:val="24"/>
          <w:lang w:val="en-GB"/>
        </w:rPr>
        <w:t xml:space="preserve">visual, surface or volumetric inspection </w:t>
      </w:r>
      <w:r w:rsidRPr="002B144A">
        <w:rPr>
          <w:rFonts w:ascii="Times New Roman" w:hAnsi="Times New Roman"/>
          <w:sz w:val="24"/>
          <w:szCs w:val="24"/>
          <w:lang w:val="en-GB"/>
        </w:rPr>
        <w:t xml:space="preserve">performed </w:t>
      </w:r>
      <w:r w:rsidR="009A7659" w:rsidRPr="002B144A">
        <w:rPr>
          <w:rFonts w:ascii="Times New Roman" w:hAnsi="Times New Roman"/>
          <w:sz w:val="24"/>
          <w:szCs w:val="24"/>
          <w:lang w:val="en-GB"/>
        </w:rPr>
        <w:t>with</w:t>
      </w:r>
      <w:r w:rsidRPr="002B144A">
        <w:rPr>
          <w:rFonts w:ascii="Times New Roman" w:hAnsi="Times New Roman"/>
          <w:sz w:val="24"/>
          <w:szCs w:val="24"/>
          <w:lang w:val="en-GB"/>
        </w:rPr>
        <w:t xml:space="preserve">in </w:t>
      </w:r>
      <w:r w:rsidR="00F80F20" w:rsidRPr="002B144A">
        <w:rPr>
          <w:rFonts w:ascii="Times New Roman" w:hAnsi="Times New Roman"/>
          <w:sz w:val="24"/>
          <w:szCs w:val="24"/>
          <w:lang w:val="en-GB"/>
        </w:rPr>
        <w:t>AMP</w:t>
      </w:r>
      <w:r w:rsidR="00300854">
        <w:rPr>
          <w:rFonts w:ascii="Times New Roman" w:hAnsi="Times New Roman"/>
          <w:sz w:val="24"/>
          <w:szCs w:val="24"/>
          <w:lang w:val="en-GB"/>
        </w:rPr>
        <w:t xml:space="preserve"> </w:t>
      </w:r>
      <w:r w:rsidR="00F80F20" w:rsidRPr="002B144A">
        <w:rPr>
          <w:rFonts w:ascii="Times New Roman" w:hAnsi="Times New Roman"/>
          <w:sz w:val="24"/>
          <w:szCs w:val="24"/>
          <w:lang w:val="en-GB"/>
        </w:rPr>
        <w:t xml:space="preserve">102 </w:t>
      </w:r>
      <w:r w:rsidRPr="002B144A">
        <w:rPr>
          <w:rFonts w:ascii="Times New Roman" w:hAnsi="Times New Roman"/>
          <w:sz w:val="24"/>
          <w:szCs w:val="24"/>
          <w:lang w:val="en-GB"/>
        </w:rPr>
        <w:t xml:space="preserve">will detect </w:t>
      </w:r>
      <w:r w:rsidR="00AA2107" w:rsidRPr="002B144A">
        <w:rPr>
          <w:rFonts w:ascii="Times New Roman" w:hAnsi="Times New Roman"/>
          <w:sz w:val="24"/>
          <w:szCs w:val="24"/>
          <w:lang w:val="en-GB"/>
        </w:rPr>
        <w:t>cracking due to</w:t>
      </w:r>
      <w:r w:rsidRPr="002B144A">
        <w:rPr>
          <w:rFonts w:ascii="Times New Roman" w:hAnsi="Times New Roman"/>
          <w:sz w:val="24"/>
          <w:szCs w:val="24"/>
          <w:lang w:val="en-GB"/>
        </w:rPr>
        <w:t xml:space="preserve"> SCC, fatigue, growth of manufacturing defects, </w:t>
      </w:r>
      <w:r w:rsidR="00841FBD" w:rsidRPr="002B144A">
        <w:rPr>
          <w:rFonts w:ascii="Times New Roman" w:hAnsi="Times New Roman"/>
          <w:sz w:val="24"/>
          <w:szCs w:val="24"/>
          <w:lang w:val="en-GB"/>
        </w:rPr>
        <w:t xml:space="preserve">or </w:t>
      </w:r>
      <w:r w:rsidRPr="002B144A">
        <w:rPr>
          <w:rFonts w:ascii="Times New Roman" w:hAnsi="Times New Roman"/>
          <w:sz w:val="24"/>
          <w:szCs w:val="24"/>
          <w:lang w:val="en-GB"/>
        </w:rPr>
        <w:t>common wear</w:t>
      </w:r>
      <w:r w:rsidR="00AA2107" w:rsidRPr="002B144A">
        <w:rPr>
          <w:rFonts w:ascii="Times New Roman" w:hAnsi="Times New Roman"/>
          <w:sz w:val="24"/>
          <w:szCs w:val="24"/>
          <w:lang w:val="en-GB"/>
        </w:rPr>
        <w:t xml:space="preserve"> </w:t>
      </w:r>
      <w:r w:rsidR="002034C4" w:rsidRPr="002B144A">
        <w:rPr>
          <w:rFonts w:ascii="Times New Roman" w:hAnsi="Times New Roman"/>
          <w:sz w:val="24"/>
          <w:szCs w:val="24"/>
          <w:lang w:val="en-GB"/>
        </w:rPr>
        <w:t>by inspecting for loose connections or missing parts</w:t>
      </w:r>
      <w:r w:rsidRPr="002B144A">
        <w:rPr>
          <w:rFonts w:ascii="Times New Roman" w:hAnsi="Times New Roman"/>
          <w:sz w:val="24"/>
          <w:szCs w:val="24"/>
          <w:lang w:val="en-GB"/>
        </w:rPr>
        <w:t xml:space="preserve">. </w:t>
      </w:r>
    </w:p>
    <w:p w14:paraId="3BDE93EA" w14:textId="77777777" w:rsidR="00816E2D" w:rsidRPr="002B144A" w:rsidRDefault="002034C4"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The impact of boric acid leakage on bolting materials is addressed by AMP 110</w:t>
      </w:r>
      <w:r w:rsidR="005939E5">
        <w:rPr>
          <w:rFonts w:ascii="Times New Roman" w:hAnsi="Times New Roman"/>
          <w:sz w:val="24"/>
          <w:szCs w:val="24"/>
          <w:lang w:val="en-GB"/>
        </w:rPr>
        <w:t>.</w:t>
      </w:r>
      <w:r w:rsidR="00CC7EE0" w:rsidRPr="002B144A">
        <w:rPr>
          <w:rFonts w:ascii="Times New Roman" w:hAnsi="Times New Roman"/>
          <w:sz w:val="24"/>
          <w:szCs w:val="24"/>
          <w:lang w:val="en-GB"/>
        </w:rPr>
        <w:t xml:space="preserve"> </w:t>
      </w:r>
    </w:p>
    <w:p w14:paraId="64DD5717" w14:textId="77777777" w:rsidR="00E65323" w:rsidRPr="002B144A" w:rsidRDefault="00CC7EE0"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The cumulative effect of fatigue is addressed by AMP</w:t>
      </w:r>
      <w:r w:rsidR="00300854">
        <w:rPr>
          <w:rFonts w:ascii="Times New Roman" w:hAnsi="Times New Roman"/>
          <w:sz w:val="24"/>
          <w:szCs w:val="24"/>
          <w:lang w:val="en-GB"/>
        </w:rPr>
        <w:t xml:space="preserve"> </w:t>
      </w:r>
      <w:r w:rsidRPr="002B144A">
        <w:rPr>
          <w:rFonts w:ascii="Times New Roman" w:hAnsi="Times New Roman"/>
          <w:sz w:val="24"/>
          <w:szCs w:val="24"/>
          <w:lang w:val="en-GB"/>
        </w:rPr>
        <w:t>101</w:t>
      </w:r>
      <w:r w:rsidR="005939E5">
        <w:rPr>
          <w:rFonts w:ascii="Times New Roman" w:hAnsi="Times New Roman"/>
          <w:sz w:val="24"/>
          <w:szCs w:val="24"/>
          <w:lang w:val="en-GB"/>
        </w:rPr>
        <w:t>.</w:t>
      </w:r>
    </w:p>
    <w:p w14:paraId="1A62FA74" w14:textId="77777777" w:rsidR="00B877B7" w:rsidRPr="002B144A" w:rsidRDefault="00B877B7" w:rsidP="00D365B9">
      <w:pPr>
        <w:pStyle w:val="Body"/>
        <w:tabs>
          <w:tab w:val="clear" w:pos="360"/>
        </w:tabs>
        <w:ind w:left="0" w:firstLine="0"/>
        <w:jc w:val="both"/>
        <w:rPr>
          <w:rFonts w:ascii="Times New Roman" w:hAnsi="Times New Roman"/>
          <w:sz w:val="24"/>
          <w:szCs w:val="24"/>
          <w:lang w:val="en-GB"/>
        </w:rPr>
      </w:pPr>
    </w:p>
    <w:p w14:paraId="622EF999"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Monitoring and trending of ageing effects</w:t>
      </w:r>
      <w:r w:rsidR="00DE0A26" w:rsidRPr="002B144A">
        <w:rPr>
          <w:rFonts w:ascii="Times New Roman" w:hAnsi="Times New Roman"/>
          <w:b/>
          <w:i/>
          <w:sz w:val="24"/>
          <w:szCs w:val="24"/>
          <w:lang w:val="en-GB"/>
        </w:rPr>
        <w:t>:</w:t>
      </w:r>
    </w:p>
    <w:p w14:paraId="3F2A4B08" w14:textId="77777777" w:rsidR="000771EA" w:rsidRPr="002B144A" w:rsidRDefault="00151E7A" w:rsidP="00D365B9">
      <w:pPr>
        <w:pStyle w:val="BodyNumbered"/>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Timely and reliable detection of ageing degradation is provided by implementation of inspection and testing schedules in accordance with the referred AMPs in attribute 3, reliable examination methods, and qualified inspection. </w:t>
      </w:r>
      <w:r w:rsidR="00CC7EE0" w:rsidRPr="002B144A">
        <w:rPr>
          <w:rFonts w:ascii="Times New Roman" w:hAnsi="Times New Roman"/>
          <w:sz w:val="24"/>
          <w:szCs w:val="24"/>
          <w:lang w:val="en-GB"/>
        </w:rPr>
        <w:t xml:space="preserve">Monitoring and trending </w:t>
      </w:r>
      <w:proofErr w:type="gramStart"/>
      <w:r w:rsidR="00CC7EE0" w:rsidRPr="002B144A">
        <w:rPr>
          <w:rFonts w:ascii="Times New Roman" w:hAnsi="Times New Roman"/>
          <w:sz w:val="24"/>
          <w:szCs w:val="24"/>
          <w:lang w:val="en-GB"/>
        </w:rPr>
        <w:t>is</w:t>
      </w:r>
      <w:proofErr w:type="gramEnd"/>
      <w:r w:rsidR="00CC7EE0" w:rsidRPr="002B144A">
        <w:rPr>
          <w:rFonts w:ascii="Times New Roman" w:hAnsi="Times New Roman"/>
          <w:sz w:val="24"/>
          <w:szCs w:val="24"/>
          <w:lang w:val="en-GB"/>
        </w:rPr>
        <w:t xml:space="preserve"> performed as per the AMPs </w:t>
      </w:r>
      <w:r w:rsidR="00573DC6">
        <w:rPr>
          <w:rFonts w:ascii="Times New Roman" w:hAnsi="Times New Roman"/>
          <w:sz w:val="24"/>
          <w:szCs w:val="24"/>
          <w:lang w:val="en-GB"/>
        </w:rPr>
        <w:t>listed</w:t>
      </w:r>
      <w:r w:rsidR="00CC7EE0" w:rsidRPr="002B144A">
        <w:rPr>
          <w:rFonts w:ascii="Times New Roman" w:hAnsi="Times New Roman"/>
          <w:sz w:val="24"/>
          <w:szCs w:val="24"/>
          <w:lang w:val="en-GB"/>
        </w:rPr>
        <w:t xml:space="preserve"> in attribute </w:t>
      </w:r>
      <w:r w:rsidR="00312DA5" w:rsidRPr="002B144A">
        <w:rPr>
          <w:rFonts w:ascii="Times New Roman" w:hAnsi="Times New Roman"/>
          <w:sz w:val="24"/>
          <w:szCs w:val="24"/>
          <w:lang w:val="en-GB"/>
        </w:rPr>
        <w:t>3.</w:t>
      </w:r>
    </w:p>
    <w:p w14:paraId="548D53B0" w14:textId="77777777" w:rsidR="00E65323" w:rsidRPr="002B144A" w:rsidRDefault="00E65323" w:rsidP="00D365B9">
      <w:pPr>
        <w:pStyle w:val="BodyNumbered"/>
        <w:tabs>
          <w:tab w:val="clear" w:pos="360"/>
        </w:tabs>
        <w:ind w:left="0" w:firstLine="0"/>
        <w:jc w:val="both"/>
        <w:rPr>
          <w:rFonts w:ascii="Times New Roman" w:hAnsi="Times New Roman"/>
          <w:b/>
          <w:i/>
          <w:sz w:val="24"/>
          <w:szCs w:val="24"/>
          <w:lang w:val="en-GB"/>
        </w:rPr>
      </w:pPr>
    </w:p>
    <w:p w14:paraId="4CD06259"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Mitigating ageing effects</w:t>
      </w:r>
      <w:r w:rsidR="00DE0A26" w:rsidRPr="002B144A">
        <w:rPr>
          <w:rFonts w:ascii="Times New Roman" w:hAnsi="Times New Roman"/>
          <w:b/>
          <w:i/>
          <w:sz w:val="24"/>
          <w:szCs w:val="24"/>
          <w:lang w:val="en-GB"/>
        </w:rPr>
        <w:t>:</w:t>
      </w:r>
    </w:p>
    <w:p w14:paraId="7159E13F" w14:textId="77777777" w:rsidR="00E65323" w:rsidRDefault="009B0A89"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R</w:t>
      </w:r>
      <w:r w:rsidR="004456F4" w:rsidRPr="002B144A">
        <w:rPr>
          <w:rFonts w:ascii="Times New Roman" w:hAnsi="Times New Roman"/>
          <w:sz w:val="24"/>
          <w:szCs w:val="24"/>
          <w:lang w:val="en-GB"/>
        </w:rPr>
        <w:t xml:space="preserve">ecommendations </w:t>
      </w:r>
      <w:r w:rsidRPr="002B144A">
        <w:rPr>
          <w:rFonts w:ascii="Times New Roman" w:hAnsi="Times New Roman"/>
          <w:sz w:val="24"/>
          <w:szCs w:val="24"/>
          <w:lang w:val="en-GB"/>
        </w:rPr>
        <w:t>for mitigation of ageing effects are based on referred AMPs</w:t>
      </w:r>
      <w:r w:rsidR="0096413D">
        <w:rPr>
          <w:rFonts w:ascii="Times New Roman" w:hAnsi="Times New Roman"/>
          <w:sz w:val="24"/>
          <w:szCs w:val="24"/>
          <w:lang w:val="en-GB"/>
        </w:rPr>
        <w:t xml:space="preserve"> </w:t>
      </w:r>
      <w:r w:rsidR="0096413D" w:rsidRPr="002B144A">
        <w:rPr>
          <w:rFonts w:ascii="Times New Roman" w:hAnsi="Times New Roman"/>
          <w:sz w:val="24"/>
          <w:szCs w:val="24"/>
          <w:lang w:val="en-GB"/>
        </w:rPr>
        <w:t>in attribute 3</w:t>
      </w:r>
      <w:r w:rsidRPr="002B144A">
        <w:rPr>
          <w:rFonts w:ascii="Times New Roman" w:hAnsi="Times New Roman"/>
          <w:sz w:val="24"/>
          <w:szCs w:val="24"/>
          <w:lang w:val="en-GB"/>
        </w:rPr>
        <w:t xml:space="preserve">, and on </w:t>
      </w:r>
      <w:r w:rsidR="004456F4" w:rsidRPr="002B144A">
        <w:rPr>
          <w:rFonts w:ascii="Times New Roman" w:hAnsi="Times New Roman"/>
          <w:sz w:val="24"/>
          <w:szCs w:val="24"/>
          <w:lang w:val="en-GB"/>
        </w:rPr>
        <w:t>result</w:t>
      </w:r>
      <w:r w:rsidRPr="002B144A">
        <w:rPr>
          <w:rFonts w:ascii="Times New Roman" w:hAnsi="Times New Roman"/>
          <w:sz w:val="24"/>
          <w:szCs w:val="24"/>
          <w:lang w:val="en-GB"/>
        </w:rPr>
        <w:t>s</w:t>
      </w:r>
      <w:r w:rsidR="004456F4" w:rsidRPr="002B144A">
        <w:rPr>
          <w:rFonts w:ascii="Times New Roman" w:hAnsi="Times New Roman"/>
          <w:sz w:val="24"/>
          <w:szCs w:val="24"/>
          <w:lang w:val="en-GB"/>
        </w:rPr>
        <w:t xml:space="preserve"> from performed analys</w:t>
      </w:r>
      <w:r w:rsidR="00312DA5" w:rsidRPr="002B144A">
        <w:rPr>
          <w:rFonts w:ascii="Times New Roman" w:hAnsi="Times New Roman"/>
          <w:sz w:val="24"/>
          <w:szCs w:val="24"/>
          <w:lang w:val="en-GB"/>
        </w:rPr>
        <w:t>e</w:t>
      </w:r>
      <w:r w:rsidR="004456F4" w:rsidRPr="002B144A">
        <w:rPr>
          <w:rFonts w:ascii="Times New Roman" w:hAnsi="Times New Roman"/>
          <w:sz w:val="24"/>
          <w:szCs w:val="24"/>
          <w:lang w:val="en-GB"/>
        </w:rPr>
        <w:t>s of possible degradation developments.</w:t>
      </w:r>
    </w:p>
    <w:p w14:paraId="202323D3" w14:textId="77777777" w:rsidR="00681D00" w:rsidRPr="002B144A" w:rsidRDefault="00681D00" w:rsidP="00D365B9">
      <w:pPr>
        <w:pStyle w:val="Body"/>
        <w:tabs>
          <w:tab w:val="clear" w:pos="360"/>
        </w:tabs>
        <w:ind w:left="0" w:firstLine="0"/>
        <w:jc w:val="both"/>
        <w:rPr>
          <w:rFonts w:ascii="Times New Roman" w:hAnsi="Times New Roman"/>
          <w:sz w:val="24"/>
          <w:szCs w:val="24"/>
          <w:lang w:val="en-GB"/>
        </w:rPr>
      </w:pPr>
    </w:p>
    <w:p w14:paraId="7F222BE4"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Acceptance criteria</w:t>
      </w:r>
      <w:r w:rsidR="00DE0A26" w:rsidRPr="002B144A">
        <w:rPr>
          <w:rFonts w:ascii="Times New Roman" w:hAnsi="Times New Roman"/>
          <w:b/>
          <w:i/>
          <w:sz w:val="24"/>
          <w:szCs w:val="24"/>
          <w:lang w:val="en-GB"/>
        </w:rPr>
        <w:t>:</w:t>
      </w:r>
    </w:p>
    <w:p w14:paraId="5CFACCA7" w14:textId="77777777" w:rsidR="00816E2D" w:rsidRPr="002B144A" w:rsidRDefault="004456F4"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Acceptance criteria are part of </w:t>
      </w:r>
      <w:r w:rsidR="009B0A89" w:rsidRPr="002B144A">
        <w:rPr>
          <w:rFonts w:ascii="Times New Roman" w:hAnsi="Times New Roman"/>
          <w:sz w:val="24"/>
          <w:szCs w:val="24"/>
          <w:lang w:val="en-GB"/>
        </w:rPr>
        <w:t>referred AMPs</w:t>
      </w:r>
      <w:r w:rsidR="0096413D">
        <w:rPr>
          <w:rFonts w:ascii="Times New Roman" w:hAnsi="Times New Roman"/>
          <w:sz w:val="24"/>
          <w:szCs w:val="24"/>
          <w:lang w:val="en-GB"/>
        </w:rPr>
        <w:t xml:space="preserve"> </w:t>
      </w:r>
      <w:r w:rsidR="0096413D" w:rsidRPr="002B144A">
        <w:rPr>
          <w:rFonts w:ascii="Times New Roman" w:hAnsi="Times New Roman"/>
          <w:sz w:val="24"/>
          <w:szCs w:val="24"/>
          <w:lang w:val="en-GB"/>
        </w:rPr>
        <w:t>in attribute 3</w:t>
      </w:r>
      <w:r w:rsidR="009B0A89" w:rsidRPr="002B144A">
        <w:rPr>
          <w:rFonts w:ascii="Times New Roman" w:hAnsi="Times New Roman"/>
          <w:sz w:val="24"/>
          <w:szCs w:val="24"/>
          <w:lang w:val="en-GB"/>
        </w:rPr>
        <w:t>,</w:t>
      </w:r>
      <w:r w:rsidRPr="002B144A">
        <w:rPr>
          <w:rFonts w:ascii="Times New Roman" w:hAnsi="Times New Roman"/>
          <w:sz w:val="24"/>
          <w:szCs w:val="24"/>
          <w:lang w:val="en-GB"/>
        </w:rPr>
        <w:t xml:space="preserve"> and maintenance procedures</w:t>
      </w:r>
      <w:r w:rsidR="009B0A89" w:rsidRPr="002B144A">
        <w:rPr>
          <w:rFonts w:ascii="Times New Roman" w:hAnsi="Times New Roman"/>
          <w:sz w:val="24"/>
          <w:szCs w:val="24"/>
          <w:lang w:val="en-GB"/>
        </w:rPr>
        <w:t xml:space="preserve">. </w:t>
      </w:r>
      <w:r w:rsidR="00151E7A" w:rsidRPr="002B144A">
        <w:rPr>
          <w:rFonts w:ascii="Times New Roman" w:hAnsi="Times New Roman"/>
          <w:sz w:val="24"/>
          <w:szCs w:val="24"/>
          <w:lang w:val="en-GB"/>
        </w:rPr>
        <w:t>Any indication or relevant conditions of degradation may be evaluated for acceptance in accordance with the governing requirements or guidance documents</w:t>
      </w:r>
      <w:r w:rsidR="00816E2D" w:rsidRPr="002B144A">
        <w:rPr>
          <w:rFonts w:ascii="Times New Roman" w:hAnsi="Times New Roman"/>
          <w:sz w:val="24"/>
          <w:szCs w:val="24"/>
          <w:lang w:val="en-GB"/>
        </w:rPr>
        <w:t xml:space="preserve"> as for example [2</w:t>
      </w:r>
      <w:r w:rsidR="00034094">
        <w:rPr>
          <w:rFonts w:ascii="Times New Roman" w:hAnsi="Times New Roman"/>
          <w:sz w:val="24"/>
          <w:szCs w:val="24"/>
          <w:lang w:val="en-GB"/>
        </w:rPr>
        <w:t>-5</w:t>
      </w:r>
      <w:r w:rsidR="002266A0">
        <w:rPr>
          <w:rFonts w:ascii="Times New Roman" w:hAnsi="Times New Roman"/>
          <w:lang w:val="en-GB"/>
        </w:rPr>
        <w:t>]</w:t>
      </w:r>
      <w:r w:rsidR="00A83D85" w:rsidRPr="002B144A">
        <w:rPr>
          <w:rFonts w:ascii="Times New Roman" w:hAnsi="Times New Roman"/>
          <w:sz w:val="24"/>
          <w:szCs w:val="24"/>
          <w:lang w:val="en-GB"/>
        </w:rPr>
        <w:t>.</w:t>
      </w:r>
    </w:p>
    <w:p w14:paraId="1C8A0234" w14:textId="77777777" w:rsidR="00E65323" w:rsidRPr="002B144A" w:rsidRDefault="00E65323" w:rsidP="00D365B9">
      <w:pPr>
        <w:pStyle w:val="Body"/>
        <w:tabs>
          <w:tab w:val="clear" w:pos="360"/>
        </w:tabs>
        <w:ind w:left="0" w:firstLine="0"/>
        <w:jc w:val="both"/>
        <w:rPr>
          <w:rFonts w:ascii="Times New Roman" w:hAnsi="Times New Roman"/>
          <w:sz w:val="24"/>
          <w:szCs w:val="24"/>
          <w:lang w:val="en-GB"/>
        </w:rPr>
      </w:pPr>
    </w:p>
    <w:p w14:paraId="75834F11"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Corrective actions</w:t>
      </w:r>
      <w:r w:rsidR="00DE0A26" w:rsidRPr="002B144A">
        <w:rPr>
          <w:rFonts w:ascii="Times New Roman" w:hAnsi="Times New Roman"/>
          <w:b/>
          <w:i/>
          <w:sz w:val="24"/>
          <w:szCs w:val="24"/>
          <w:lang w:val="en-GB"/>
        </w:rPr>
        <w:t>:</w:t>
      </w:r>
    </w:p>
    <w:p w14:paraId="497D38A2" w14:textId="77777777" w:rsidR="0009406C" w:rsidRPr="002B144A" w:rsidRDefault="007A4C8C"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In order to satisfy the </w:t>
      </w:r>
      <w:r>
        <w:rPr>
          <w:rFonts w:ascii="Times New Roman" w:hAnsi="Times New Roman"/>
          <w:sz w:val="24"/>
          <w:szCs w:val="24"/>
          <w:lang w:val="en-GB"/>
        </w:rPr>
        <w:t xml:space="preserve">safety </w:t>
      </w:r>
      <w:r w:rsidRPr="002B144A">
        <w:rPr>
          <w:rFonts w:ascii="Times New Roman" w:hAnsi="Times New Roman"/>
          <w:sz w:val="24"/>
          <w:szCs w:val="24"/>
          <w:lang w:val="en-GB"/>
        </w:rPr>
        <w:t>requirements, further evaluation to demonstrate fitness-for-service of the component until the end of the next periodic inspection interval may be requ</w:t>
      </w:r>
      <w:r>
        <w:rPr>
          <w:rFonts w:ascii="Times New Roman" w:hAnsi="Times New Roman"/>
          <w:sz w:val="24"/>
          <w:szCs w:val="24"/>
          <w:lang w:val="en-GB"/>
        </w:rPr>
        <w:t>i</w:t>
      </w:r>
      <w:r w:rsidRPr="002B144A">
        <w:rPr>
          <w:rFonts w:ascii="Times New Roman" w:hAnsi="Times New Roman"/>
          <w:sz w:val="24"/>
          <w:szCs w:val="24"/>
          <w:lang w:val="en-GB"/>
        </w:rPr>
        <w:t>red.</w:t>
      </w:r>
      <w:r>
        <w:rPr>
          <w:rFonts w:ascii="Times New Roman" w:hAnsi="Times New Roman"/>
          <w:sz w:val="24"/>
          <w:szCs w:val="24"/>
          <w:lang w:val="en-GB"/>
        </w:rPr>
        <w:t xml:space="preserve"> </w:t>
      </w:r>
      <w:r w:rsidR="0009406C" w:rsidRPr="002B144A">
        <w:rPr>
          <w:rFonts w:ascii="Times New Roman" w:hAnsi="Times New Roman"/>
          <w:sz w:val="24"/>
          <w:szCs w:val="24"/>
          <w:lang w:val="en-GB"/>
        </w:rPr>
        <w:t xml:space="preserve">Examination results and flaws that exceed the acceptance criteria </w:t>
      </w:r>
      <w:r w:rsidR="009A7659" w:rsidRPr="002B144A">
        <w:rPr>
          <w:rFonts w:ascii="Times New Roman" w:hAnsi="Times New Roman"/>
          <w:sz w:val="24"/>
          <w:szCs w:val="24"/>
          <w:lang w:val="en-GB"/>
        </w:rPr>
        <w:t xml:space="preserve">given </w:t>
      </w:r>
      <w:r w:rsidR="0009406C" w:rsidRPr="002B144A">
        <w:rPr>
          <w:rFonts w:ascii="Times New Roman" w:hAnsi="Times New Roman"/>
          <w:sz w:val="24"/>
          <w:szCs w:val="24"/>
          <w:lang w:val="en-GB"/>
        </w:rPr>
        <w:t xml:space="preserve">in the governing requirements or guidance documents may require </w:t>
      </w:r>
      <w:r w:rsidR="009A7659" w:rsidRPr="002B144A">
        <w:rPr>
          <w:rFonts w:ascii="Times New Roman" w:hAnsi="Times New Roman"/>
          <w:sz w:val="24"/>
          <w:szCs w:val="24"/>
          <w:lang w:val="en-GB"/>
        </w:rPr>
        <w:t>activities su</w:t>
      </w:r>
      <w:r w:rsidR="00CC3B13">
        <w:rPr>
          <w:rFonts w:ascii="Times New Roman" w:hAnsi="Times New Roman"/>
          <w:sz w:val="24"/>
          <w:szCs w:val="24"/>
          <w:lang w:val="en-GB"/>
        </w:rPr>
        <w:t>c</w:t>
      </w:r>
      <w:r w:rsidR="009A7659" w:rsidRPr="002B144A">
        <w:rPr>
          <w:rFonts w:ascii="Times New Roman" w:hAnsi="Times New Roman"/>
          <w:sz w:val="24"/>
          <w:szCs w:val="24"/>
          <w:lang w:val="en-GB"/>
        </w:rPr>
        <w:t xml:space="preserve">h as </w:t>
      </w:r>
      <w:r w:rsidR="0009406C" w:rsidRPr="002B144A">
        <w:rPr>
          <w:rFonts w:ascii="Times New Roman" w:hAnsi="Times New Roman"/>
          <w:sz w:val="24"/>
          <w:szCs w:val="24"/>
          <w:lang w:val="en-GB"/>
        </w:rPr>
        <w:t>repair or replacement</w:t>
      </w:r>
      <w:r>
        <w:rPr>
          <w:rFonts w:ascii="Times New Roman" w:hAnsi="Times New Roman"/>
          <w:sz w:val="24"/>
          <w:szCs w:val="24"/>
          <w:lang w:val="en-GB"/>
        </w:rPr>
        <w:t>.</w:t>
      </w:r>
    </w:p>
    <w:p w14:paraId="63F2899F" w14:textId="77777777" w:rsidR="00816E2D" w:rsidRPr="002B144A" w:rsidRDefault="009D316A"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For each acceptance criteri</w:t>
      </w:r>
      <w:r w:rsidR="00841FBD" w:rsidRPr="002B144A">
        <w:rPr>
          <w:rFonts w:ascii="Times New Roman" w:hAnsi="Times New Roman"/>
          <w:sz w:val="24"/>
          <w:szCs w:val="24"/>
          <w:lang w:val="en-GB"/>
        </w:rPr>
        <w:t>on</w:t>
      </w:r>
      <w:r w:rsidRPr="002B144A">
        <w:rPr>
          <w:rFonts w:ascii="Times New Roman" w:hAnsi="Times New Roman"/>
          <w:sz w:val="24"/>
          <w:szCs w:val="24"/>
          <w:lang w:val="en-GB"/>
        </w:rPr>
        <w:t xml:space="preserve"> which is not satisfied, the procedure </w:t>
      </w:r>
      <w:r w:rsidR="00031F79" w:rsidRPr="002B144A">
        <w:rPr>
          <w:rFonts w:ascii="Times New Roman" w:hAnsi="Times New Roman"/>
          <w:sz w:val="24"/>
          <w:szCs w:val="24"/>
          <w:lang w:val="en-GB"/>
        </w:rPr>
        <w:t>for re</w:t>
      </w:r>
      <w:r w:rsidRPr="002B144A">
        <w:rPr>
          <w:rFonts w:ascii="Times New Roman" w:hAnsi="Times New Roman"/>
          <w:sz w:val="24"/>
          <w:szCs w:val="24"/>
          <w:lang w:val="en-GB"/>
        </w:rPr>
        <w:t xml:space="preserve">solution is defined or elaborated and consequently </w:t>
      </w:r>
      <w:r w:rsidR="00031F79" w:rsidRPr="002B144A">
        <w:rPr>
          <w:rFonts w:ascii="Times New Roman" w:hAnsi="Times New Roman"/>
          <w:sz w:val="24"/>
          <w:szCs w:val="24"/>
          <w:lang w:val="en-GB"/>
        </w:rPr>
        <w:t>implemented</w:t>
      </w:r>
      <w:r w:rsidR="00F73925" w:rsidRPr="002B144A">
        <w:rPr>
          <w:rFonts w:ascii="Times New Roman" w:hAnsi="Times New Roman"/>
          <w:sz w:val="24"/>
          <w:szCs w:val="24"/>
          <w:lang w:val="en-GB"/>
        </w:rPr>
        <w:t xml:space="preserve">, according to the </w:t>
      </w:r>
      <w:r w:rsidR="00984D7F" w:rsidRPr="002B144A">
        <w:rPr>
          <w:rFonts w:ascii="Times New Roman" w:hAnsi="Times New Roman"/>
          <w:sz w:val="24"/>
          <w:szCs w:val="24"/>
          <w:lang w:val="en-GB"/>
        </w:rPr>
        <w:t>referred AMPs</w:t>
      </w:r>
      <w:r w:rsidR="00984D7F">
        <w:rPr>
          <w:rFonts w:ascii="Times New Roman" w:hAnsi="Times New Roman"/>
          <w:sz w:val="24"/>
          <w:szCs w:val="24"/>
          <w:lang w:val="en-GB"/>
        </w:rPr>
        <w:t xml:space="preserve"> </w:t>
      </w:r>
      <w:r w:rsidR="00984D7F" w:rsidRPr="002B144A">
        <w:rPr>
          <w:rFonts w:ascii="Times New Roman" w:hAnsi="Times New Roman"/>
          <w:sz w:val="24"/>
          <w:szCs w:val="24"/>
          <w:lang w:val="en-GB"/>
        </w:rPr>
        <w:t>in attribute 3</w:t>
      </w:r>
      <w:r w:rsidRPr="002B144A">
        <w:rPr>
          <w:rFonts w:ascii="Times New Roman" w:hAnsi="Times New Roman"/>
          <w:sz w:val="24"/>
          <w:szCs w:val="24"/>
          <w:lang w:val="en-GB"/>
        </w:rPr>
        <w:t>.</w:t>
      </w:r>
      <w:r w:rsidR="0096271D" w:rsidRPr="002B144A">
        <w:rPr>
          <w:rFonts w:ascii="Times New Roman" w:hAnsi="Times New Roman"/>
          <w:sz w:val="24"/>
          <w:szCs w:val="24"/>
          <w:lang w:val="en-GB"/>
        </w:rPr>
        <w:t xml:space="preserve"> </w:t>
      </w:r>
      <w:r w:rsidRPr="002B144A">
        <w:rPr>
          <w:rFonts w:ascii="Times New Roman" w:hAnsi="Times New Roman"/>
          <w:sz w:val="24"/>
          <w:szCs w:val="24"/>
          <w:lang w:val="en-GB"/>
        </w:rPr>
        <w:t xml:space="preserve">At the end of the process the </w:t>
      </w:r>
      <w:r w:rsidR="00841FBD" w:rsidRPr="002B144A">
        <w:rPr>
          <w:rFonts w:ascii="Times New Roman" w:hAnsi="Times New Roman"/>
          <w:sz w:val="24"/>
          <w:szCs w:val="24"/>
          <w:lang w:val="en-GB"/>
        </w:rPr>
        <w:t xml:space="preserve">criterion </w:t>
      </w:r>
      <w:r w:rsidRPr="002B144A">
        <w:rPr>
          <w:rFonts w:ascii="Times New Roman" w:hAnsi="Times New Roman"/>
          <w:sz w:val="24"/>
          <w:szCs w:val="24"/>
          <w:lang w:val="en-GB"/>
        </w:rPr>
        <w:t xml:space="preserve">is </w:t>
      </w:r>
      <w:proofErr w:type="gramStart"/>
      <w:r w:rsidRPr="002B144A">
        <w:rPr>
          <w:rFonts w:ascii="Times New Roman" w:hAnsi="Times New Roman"/>
          <w:sz w:val="24"/>
          <w:szCs w:val="24"/>
          <w:lang w:val="en-GB"/>
        </w:rPr>
        <w:t>fulfilled</w:t>
      </w:r>
      <w:proofErr w:type="gramEnd"/>
      <w:r w:rsidRPr="002B144A">
        <w:rPr>
          <w:rFonts w:ascii="Times New Roman" w:hAnsi="Times New Roman"/>
          <w:sz w:val="24"/>
          <w:szCs w:val="24"/>
          <w:lang w:val="en-GB"/>
        </w:rPr>
        <w:t xml:space="preserve"> and </w:t>
      </w:r>
      <w:r w:rsidR="00031F79" w:rsidRPr="002B144A">
        <w:rPr>
          <w:rFonts w:ascii="Times New Roman" w:hAnsi="Times New Roman"/>
          <w:sz w:val="24"/>
          <w:szCs w:val="24"/>
          <w:lang w:val="en-GB"/>
        </w:rPr>
        <w:t xml:space="preserve">the </w:t>
      </w:r>
      <w:r w:rsidRPr="002B144A">
        <w:rPr>
          <w:rFonts w:ascii="Times New Roman" w:hAnsi="Times New Roman"/>
          <w:sz w:val="24"/>
          <w:szCs w:val="24"/>
          <w:lang w:val="en-GB"/>
        </w:rPr>
        <w:t xml:space="preserve">requested state of the component is restored. Repair and replacement according to requirement of technical documentation of the components and according to guiding documents of the plant are part of </w:t>
      </w:r>
      <w:r w:rsidR="00031F79" w:rsidRPr="002B144A">
        <w:rPr>
          <w:rFonts w:ascii="Times New Roman" w:hAnsi="Times New Roman"/>
          <w:sz w:val="24"/>
          <w:szCs w:val="24"/>
          <w:lang w:val="en-GB"/>
        </w:rPr>
        <w:t xml:space="preserve">possible </w:t>
      </w:r>
      <w:r w:rsidRPr="002B144A">
        <w:rPr>
          <w:rFonts w:ascii="Times New Roman" w:hAnsi="Times New Roman"/>
          <w:sz w:val="24"/>
          <w:szCs w:val="24"/>
          <w:lang w:val="en-GB"/>
        </w:rPr>
        <w:t>corrective action</w:t>
      </w:r>
      <w:r w:rsidR="002307F9" w:rsidRPr="002B144A">
        <w:rPr>
          <w:rFonts w:ascii="Times New Roman" w:hAnsi="Times New Roman"/>
          <w:sz w:val="24"/>
          <w:szCs w:val="24"/>
          <w:lang w:val="en-GB"/>
        </w:rPr>
        <w:t>s</w:t>
      </w:r>
      <w:r w:rsidRPr="002B144A">
        <w:rPr>
          <w:rFonts w:ascii="Times New Roman" w:hAnsi="Times New Roman"/>
          <w:sz w:val="24"/>
          <w:szCs w:val="24"/>
          <w:lang w:val="en-GB"/>
        </w:rPr>
        <w:t>.</w:t>
      </w:r>
    </w:p>
    <w:p w14:paraId="6A9692BE" w14:textId="77777777" w:rsidR="009D316A" w:rsidRPr="002B144A" w:rsidRDefault="002307F9"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When suitable in some cases</w:t>
      </w:r>
      <w:r w:rsidR="00841FBD" w:rsidRPr="002B144A">
        <w:rPr>
          <w:rFonts w:ascii="Times New Roman" w:hAnsi="Times New Roman"/>
          <w:sz w:val="24"/>
          <w:szCs w:val="24"/>
          <w:lang w:val="en-GB"/>
        </w:rPr>
        <w:t xml:space="preserve">, changes </w:t>
      </w:r>
      <w:r w:rsidR="0085268A" w:rsidRPr="002B144A">
        <w:rPr>
          <w:rFonts w:ascii="Times New Roman" w:hAnsi="Times New Roman"/>
          <w:sz w:val="24"/>
          <w:szCs w:val="24"/>
          <w:lang w:val="en-GB"/>
        </w:rPr>
        <w:t xml:space="preserve">of </w:t>
      </w:r>
      <w:r w:rsidRPr="002B144A">
        <w:rPr>
          <w:rFonts w:ascii="Times New Roman" w:hAnsi="Times New Roman"/>
          <w:sz w:val="24"/>
          <w:szCs w:val="24"/>
          <w:lang w:val="en-GB"/>
        </w:rPr>
        <w:t>operational regimes could be applied.</w:t>
      </w:r>
    </w:p>
    <w:p w14:paraId="2D887823" w14:textId="77777777" w:rsidR="00E65323" w:rsidRPr="002B144A" w:rsidRDefault="00E65323" w:rsidP="00D365B9">
      <w:pPr>
        <w:pStyle w:val="Body"/>
        <w:tabs>
          <w:tab w:val="clear" w:pos="360"/>
        </w:tabs>
        <w:ind w:left="0" w:firstLine="0"/>
        <w:jc w:val="both"/>
        <w:rPr>
          <w:rFonts w:ascii="Times New Roman" w:hAnsi="Times New Roman"/>
          <w:b/>
          <w:sz w:val="24"/>
          <w:szCs w:val="24"/>
          <w:lang w:val="en-GB"/>
        </w:rPr>
      </w:pPr>
    </w:p>
    <w:p w14:paraId="6775ACE1"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Operating experience feedback and feedback of research and development results</w:t>
      </w:r>
      <w:r w:rsidR="00DE0A26" w:rsidRPr="002B144A">
        <w:rPr>
          <w:rFonts w:ascii="Times New Roman" w:hAnsi="Times New Roman"/>
          <w:b/>
          <w:i/>
          <w:sz w:val="24"/>
          <w:szCs w:val="24"/>
          <w:lang w:val="en-GB"/>
        </w:rPr>
        <w:t>:</w:t>
      </w:r>
    </w:p>
    <w:p w14:paraId="28762F99" w14:textId="77777777" w:rsidR="00124137" w:rsidRDefault="00124137" w:rsidP="00D365B9">
      <w:pPr>
        <w:pStyle w:val="Body"/>
        <w:tabs>
          <w:tab w:val="clear" w:pos="36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590CBDB9" w14:textId="77777777" w:rsidR="00517C0F" w:rsidRDefault="00517C0F" w:rsidP="00D365B9">
      <w:pPr>
        <w:pStyle w:val="Body"/>
        <w:tabs>
          <w:tab w:val="clear" w:pos="360"/>
        </w:tabs>
        <w:ind w:left="0" w:firstLine="0"/>
        <w:jc w:val="both"/>
        <w:rPr>
          <w:rFonts w:ascii="Times New Roman" w:hAnsi="Times New Roman"/>
          <w:sz w:val="24"/>
          <w:szCs w:val="24"/>
          <w:lang w:val="en-GB"/>
        </w:rPr>
      </w:pPr>
      <w:r w:rsidRPr="00517C0F">
        <w:rPr>
          <w:rFonts w:ascii="Times New Roman" w:hAnsi="Times New Roman"/>
          <w:sz w:val="24"/>
          <w:szCs w:val="24"/>
          <w:lang w:val="en-GB"/>
        </w:rPr>
        <w:t>Appropriate sources of external operating experience are WANO Operating Experience Programme, IAEA IGALL Programme, etc.</w:t>
      </w:r>
    </w:p>
    <w:p w14:paraId="58D74470" w14:textId="77777777" w:rsidR="00BA7144" w:rsidRDefault="00BA7144" w:rsidP="00D365B9">
      <w:pPr>
        <w:pStyle w:val="Body"/>
        <w:tabs>
          <w:tab w:val="clear" w:pos="360"/>
        </w:tabs>
        <w:ind w:left="0" w:firstLine="0"/>
        <w:jc w:val="both"/>
        <w:rPr>
          <w:rFonts w:ascii="Times New Roman" w:hAnsi="Times New Roman"/>
          <w:sz w:val="24"/>
          <w:szCs w:val="24"/>
        </w:rPr>
      </w:pPr>
      <w:r w:rsidRPr="00EC20E6">
        <w:rPr>
          <w:rFonts w:ascii="Times New Roman" w:hAnsi="Times New Roman"/>
          <w:sz w:val="24"/>
          <w:szCs w:val="24"/>
        </w:rPr>
        <w:t>The operational history of the</w:t>
      </w:r>
      <w:r>
        <w:rPr>
          <w:rFonts w:ascii="Times New Roman" w:hAnsi="Times New Roman"/>
          <w:sz w:val="24"/>
          <w:szCs w:val="24"/>
        </w:rPr>
        <w:t xml:space="preserve"> </w:t>
      </w:r>
      <w:r w:rsidRPr="004456F4">
        <w:rPr>
          <w:rFonts w:ascii="Times New Roman" w:hAnsi="Times New Roman"/>
          <w:sz w:val="24"/>
          <w:szCs w:val="24"/>
        </w:rPr>
        <w:t xml:space="preserve">component </w:t>
      </w:r>
      <w:r w:rsidR="00300854">
        <w:rPr>
          <w:rFonts w:ascii="Times New Roman" w:hAnsi="Times New Roman"/>
          <w:sz w:val="24"/>
          <w:szCs w:val="24"/>
        </w:rPr>
        <w:t>is</w:t>
      </w:r>
      <w:r w:rsidRPr="004456F4">
        <w:rPr>
          <w:rFonts w:ascii="Times New Roman" w:hAnsi="Times New Roman"/>
          <w:sz w:val="24"/>
          <w:szCs w:val="24"/>
        </w:rPr>
        <w:t xml:space="preserve"> analyzed once per </w:t>
      </w:r>
      <w:r>
        <w:rPr>
          <w:rFonts w:ascii="Times New Roman" w:hAnsi="Times New Roman"/>
          <w:sz w:val="24"/>
          <w:szCs w:val="24"/>
        </w:rPr>
        <w:t xml:space="preserve">inspection or test cycle according to the member states practice. There </w:t>
      </w:r>
      <w:r w:rsidR="00300854">
        <w:rPr>
          <w:rFonts w:ascii="Times New Roman" w:hAnsi="Times New Roman"/>
          <w:sz w:val="24"/>
          <w:szCs w:val="24"/>
        </w:rPr>
        <w:t>is</w:t>
      </w:r>
      <w:r>
        <w:rPr>
          <w:rFonts w:ascii="Times New Roman" w:hAnsi="Times New Roman"/>
          <w:sz w:val="24"/>
          <w:szCs w:val="24"/>
        </w:rPr>
        <w:t xml:space="preserve"> a system in place to incorporate feedback from internal and external operating experiences.</w:t>
      </w:r>
    </w:p>
    <w:p w14:paraId="55695B8C" w14:textId="77777777" w:rsidR="000F1605" w:rsidRDefault="004456F4" w:rsidP="00D365B9">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 xml:space="preserve">The values of ageing management parameters and corresponding analysis (in case that they were performed) are evaluated </w:t>
      </w:r>
      <w:r w:rsidR="002B12C5" w:rsidRPr="002B144A">
        <w:rPr>
          <w:rFonts w:ascii="Times New Roman" w:hAnsi="Times New Roman"/>
          <w:sz w:val="24"/>
          <w:szCs w:val="24"/>
          <w:lang w:val="en-GB"/>
        </w:rPr>
        <w:t xml:space="preserve">according to the </w:t>
      </w:r>
      <w:r w:rsidR="00984D7F" w:rsidRPr="002B144A">
        <w:rPr>
          <w:rFonts w:ascii="Times New Roman" w:hAnsi="Times New Roman"/>
          <w:sz w:val="24"/>
          <w:szCs w:val="24"/>
          <w:lang w:val="en-GB"/>
        </w:rPr>
        <w:t>referred AMPs</w:t>
      </w:r>
      <w:r w:rsidR="00984D7F">
        <w:rPr>
          <w:rFonts w:ascii="Times New Roman" w:hAnsi="Times New Roman"/>
          <w:sz w:val="24"/>
          <w:szCs w:val="24"/>
          <w:lang w:val="en-GB"/>
        </w:rPr>
        <w:t xml:space="preserve"> </w:t>
      </w:r>
      <w:r w:rsidR="00984D7F" w:rsidRPr="002B144A">
        <w:rPr>
          <w:rFonts w:ascii="Times New Roman" w:hAnsi="Times New Roman"/>
          <w:sz w:val="24"/>
          <w:szCs w:val="24"/>
          <w:lang w:val="en-GB"/>
        </w:rPr>
        <w:t>in attribute 3</w:t>
      </w:r>
      <w:r w:rsidRPr="002B144A">
        <w:rPr>
          <w:rFonts w:ascii="Times New Roman" w:hAnsi="Times New Roman"/>
          <w:sz w:val="24"/>
          <w:szCs w:val="24"/>
          <w:lang w:val="en-GB"/>
        </w:rPr>
        <w:t>.</w:t>
      </w:r>
    </w:p>
    <w:p w14:paraId="45E9E20D" w14:textId="77777777" w:rsidR="00517C0F" w:rsidRPr="00BA7144" w:rsidRDefault="0094630A" w:rsidP="00D365B9">
      <w:pPr>
        <w:pStyle w:val="Body"/>
        <w:tabs>
          <w:tab w:val="clear" w:pos="360"/>
        </w:tabs>
        <w:ind w:left="0" w:firstLine="0"/>
        <w:jc w:val="both"/>
        <w:rPr>
          <w:rFonts w:ascii="Times New Roman" w:hAnsi="Times New Roman"/>
          <w:sz w:val="24"/>
          <w:szCs w:val="24"/>
        </w:rPr>
      </w:pPr>
      <w:r w:rsidRPr="002825A0">
        <w:rPr>
          <w:rFonts w:ascii="Times New Roman" w:hAnsi="Times New Roman"/>
          <w:sz w:val="24"/>
          <w:szCs w:val="24"/>
        </w:rPr>
        <w:t xml:space="preserve">Observations of degradation </w:t>
      </w:r>
      <w:r w:rsidR="00142BCF">
        <w:rPr>
          <w:rFonts w:ascii="Times New Roman" w:hAnsi="Times New Roman"/>
          <w:sz w:val="24"/>
          <w:szCs w:val="24"/>
          <w:lang w:val="en-GB"/>
        </w:rPr>
        <w:t xml:space="preserve">of WWER-440 pressurizers </w:t>
      </w:r>
      <w:r>
        <w:rPr>
          <w:rFonts w:ascii="Times New Roman" w:hAnsi="Times New Roman"/>
          <w:sz w:val="24"/>
          <w:szCs w:val="24"/>
          <w:lang w:val="en-GB"/>
        </w:rPr>
        <w:t xml:space="preserve">include wear of </w:t>
      </w:r>
      <w:r w:rsidR="00142BCF">
        <w:rPr>
          <w:rFonts w:ascii="Times New Roman" w:hAnsi="Times New Roman"/>
          <w:sz w:val="24"/>
          <w:szCs w:val="24"/>
          <w:lang w:val="en-GB"/>
        </w:rPr>
        <w:t>c</w:t>
      </w:r>
      <w:r w:rsidR="00142BCF" w:rsidRPr="00AC6770">
        <w:rPr>
          <w:rFonts w:ascii="Times New Roman" w:hAnsi="Times New Roman"/>
          <w:sz w:val="24"/>
          <w:szCs w:val="24"/>
          <w:lang w:val="en-GB"/>
        </w:rPr>
        <w:t xml:space="preserve">losure bolting </w:t>
      </w:r>
      <w:r w:rsidR="00142BCF">
        <w:rPr>
          <w:rFonts w:ascii="Times New Roman" w:hAnsi="Times New Roman"/>
          <w:sz w:val="24"/>
          <w:szCs w:val="24"/>
          <w:lang w:val="en-GB"/>
        </w:rPr>
        <w:t>components</w:t>
      </w:r>
      <w:r w:rsidR="003D459B">
        <w:rPr>
          <w:rFonts w:ascii="Times New Roman" w:hAnsi="Times New Roman"/>
          <w:sz w:val="24"/>
          <w:szCs w:val="24"/>
          <w:lang w:val="en-GB"/>
        </w:rPr>
        <w:t xml:space="preserve">. </w:t>
      </w:r>
      <w:r w:rsidR="00AC6770">
        <w:rPr>
          <w:rFonts w:ascii="Times New Roman" w:hAnsi="Times New Roman"/>
          <w:sz w:val="24"/>
          <w:szCs w:val="24"/>
          <w:lang w:val="en-GB"/>
        </w:rPr>
        <w:t xml:space="preserve">It has </w:t>
      </w:r>
      <w:r w:rsidR="00AC6770" w:rsidRPr="00AC6770">
        <w:rPr>
          <w:rFonts w:ascii="Times New Roman" w:hAnsi="Times New Roman"/>
          <w:sz w:val="24"/>
          <w:szCs w:val="24"/>
          <w:lang w:val="en-GB"/>
        </w:rPr>
        <w:t xml:space="preserve">been </w:t>
      </w:r>
      <w:r w:rsidR="00B91076">
        <w:rPr>
          <w:rFonts w:ascii="Times New Roman" w:hAnsi="Times New Roman"/>
          <w:sz w:val="24"/>
          <w:szCs w:val="24"/>
          <w:lang w:val="en-GB"/>
        </w:rPr>
        <w:t>managed</w:t>
      </w:r>
      <w:r w:rsidR="00AC6770" w:rsidRPr="00AC6770">
        <w:rPr>
          <w:rFonts w:ascii="Times New Roman" w:hAnsi="Times New Roman"/>
          <w:sz w:val="24"/>
          <w:szCs w:val="24"/>
          <w:lang w:val="en-GB"/>
        </w:rPr>
        <w:t xml:space="preserve"> primarily</w:t>
      </w:r>
      <w:r w:rsidR="00AC6770">
        <w:rPr>
          <w:rFonts w:ascii="Times New Roman" w:hAnsi="Times New Roman"/>
          <w:sz w:val="24"/>
          <w:szCs w:val="24"/>
          <w:lang w:val="en-GB"/>
        </w:rPr>
        <w:t xml:space="preserve"> </w:t>
      </w:r>
      <w:r w:rsidR="00AC6770" w:rsidRPr="00AC6770">
        <w:rPr>
          <w:rFonts w:ascii="Times New Roman" w:hAnsi="Times New Roman"/>
          <w:sz w:val="24"/>
          <w:szCs w:val="24"/>
          <w:lang w:val="en-GB"/>
        </w:rPr>
        <w:t xml:space="preserve">through </w:t>
      </w:r>
      <w:r w:rsidR="00142BCF" w:rsidRPr="00142BCF">
        <w:rPr>
          <w:rFonts w:ascii="Times New Roman" w:hAnsi="Times New Roman"/>
          <w:sz w:val="24"/>
          <w:szCs w:val="24"/>
          <w:lang w:val="en-GB"/>
        </w:rPr>
        <w:t>improved control of pre-load</w:t>
      </w:r>
      <w:r w:rsidR="00BA7144">
        <w:rPr>
          <w:rFonts w:ascii="Times New Roman" w:hAnsi="Times New Roman"/>
          <w:sz w:val="24"/>
          <w:szCs w:val="24"/>
          <w:lang w:val="en-GB"/>
        </w:rPr>
        <w:t xml:space="preserve"> or</w:t>
      </w:r>
      <w:r w:rsidR="00142BCF">
        <w:rPr>
          <w:rFonts w:ascii="Times New Roman" w:hAnsi="Times New Roman"/>
          <w:sz w:val="24"/>
          <w:szCs w:val="24"/>
          <w:lang w:val="en-GB"/>
        </w:rPr>
        <w:t xml:space="preserve"> repair of sealing surfaces</w:t>
      </w:r>
      <w:r w:rsidR="00BA7144">
        <w:rPr>
          <w:rFonts w:ascii="Times New Roman" w:hAnsi="Times New Roman"/>
          <w:sz w:val="24"/>
          <w:szCs w:val="24"/>
          <w:lang w:val="en-GB"/>
        </w:rPr>
        <w:t xml:space="preserve">. </w:t>
      </w:r>
      <w:r w:rsidR="00517C0F" w:rsidRPr="00BA7144">
        <w:rPr>
          <w:rFonts w:ascii="Times New Roman" w:hAnsi="Times New Roman"/>
          <w:sz w:val="24"/>
          <w:szCs w:val="24"/>
        </w:rPr>
        <w:t xml:space="preserve">Preventive action e.g. replacement of </w:t>
      </w:r>
      <w:r w:rsidR="00BA7144">
        <w:rPr>
          <w:rFonts w:ascii="Times New Roman" w:hAnsi="Times New Roman"/>
          <w:sz w:val="24"/>
          <w:szCs w:val="24"/>
        </w:rPr>
        <w:t xml:space="preserve">bolts and </w:t>
      </w:r>
      <w:r w:rsidR="00517C0F" w:rsidRPr="00BA7144">
        <w:rPr>
          <w:rFonts w:ascii="Times New Roman" w:hAnsi="Times New Roman"/>
          <w:sz w:val="24"/>
          <w:szCs w:val="24"/>
        </w:rPr>
        <w:t xml:space="preserve">Ni sealing rings of manway for another type (graphite, HAEA HA-5549, HA-5554, HA-5560, HA-5605) precluded the effect of ageing. Existing condition monitoring </w:t>
      </w:r>
      <w:proofErr w:type="spellStart"/>
      <w:r w:rsidR="00517C0F" w:rsidRPr="00BA7144">
        <w:rPr>
          <w:rFonts w:ascii="Times New Roman" w:hAnsi="Times New Roman"/>
          <w:sz w:val="24"/>
          <w:szCs w:val="24"/>
        </w:rPr>
        <w:t>program</w:t>
      </w:r>
      <w:r w:rsidR="00300854">
        <w:rPr>
          <w:rFonts w:ascii="Times New Roman" w:hAnsi="Times New Roman"/>
          <w:sz w:val="24"/>
          <w:szCs w:val="24"/>
        </w:rPr>
        <w:t>me</w:t>
      </w:r>
      <w:r w:rsidR="00517C0F" w:rsidRPr="00BA7144">
        <w:rPr>
          <w:rFonts w:ascii="Times New Roman" w:hAnsi="Times New Roman"/>
          <w:sz w:val="24"/>
          <w:szCs w:val="24"/>
        </w:rPr>
        <w:t>s</w:t>
      </w:r>
      <w:proofErr w:type="spellEnd"/>
      <w:r w:rsidR="00517C0F" w:rsidRPr="00BA7144">
        <w:rPr>
          <w:rFonts w:ascii="Times New Roman" w:hAnsi="Times New Roman"/>
          <w:sz w:val="24"/>
          <w:szCs w:val="24"/>
        </w:rPr>
        <w:t xml:space="preserve"> of critical locations (ISI, maintenance program)</w:t>
      </w:r>
      <w:r w:rsidR="00627CFC">
        <w:rPr>
          <w:rFonts w:ascii="Times New Roman" w:hAnsi="Times New Roman"/>
          <w:sz w:val="24"/>
          <w:szCs w:val="24"/>
        </w:rPr>
        <w:t xml:space="preserve"> </w:t>
      </w:r>
      <w:r w:rsidR="00517C0F" w:rsidRPr="00BA7144">
        <w:rPr>
          <w:rFonts w:ascii="Times New Roman" w:hAnsi="Times New Roman"/>
          <w:sz w:val="24"/>
          <w:szCs w:val="24"/>
        </w:rPr>
        <w:t>in</w:t>
      </w:r>
      <w:r w:rsidR="00627CFC">
        <w:rPr>
          <w:rFonts w:ascii="Times New Roman" w:hAnsi="Times New Roman"/>
          <w:sz w:val="24"/>
          <w:szCs w:val="24"/>
        </w:rPr>
        <w:t>s</w:t>
      </w:r>
      <w:r w:rsidR="00517C0F" w:rsidRPr="00BA7144">
        <w:rPr>
          <w:rFonts w:ascii="Times New Roman" w:hAnsi="Times New Roman"/>
          <w:sz w:val="24"/>
          <w:szCs w:val="24"/>
        </w:rPr>
        <w:t>pect for the extent of ageing effects of wear.</w:t>
      </w:r>
    </w:p>
    <w:p w14:paraId="3891DE8C" w14:textId="77777777" w:rsidR="0096271D" w:rsidRDefault="00BA7144" w:rsidP="00D365B9">
      <w:pPr>
        <w:pStyle w:val="Body"/>
        <w:tabs>
          <w:tab w:val="clear" w:pos="360"/>
        </w:tabs>
        <w:ind w:left="0" w:firstLine="0"/>
        <w:jc w:val="both"/>
        <w:rPr>
          <w:rFonts w:ascii="Times New Roman" w:hAnsi="Times New Roman"/>
          <w:sz w:val="24"/>
          <w:szCs w:val="24"/>
          <w:lang w:val="en-GB"/>
        </w:rPr>
      </w:pPr>
      <w:r>
        <w:rPr>
          <w:rFonts w:ascii="Times New Roman" w:hAnsi="Times New Roman"/>
          <w:sz w:val="24"/>
          <w:szCs w:val="24"/>
          <w:lang w:val="en-GB"/>
        </w:rPr>
        <w:t>E</w:t>
      </w:r>
      <w:r w:rsidR="0096271D" w:rsidRPr="000F1605">
        <w:rPr>
          <w:rFonts w:ascii="Times New Roman" w:hAnsi="Times New Roman"/>
          <w:sz w:val="24"/>
          <w:szCs w:val="24"/>
          <w:lang w:val="en-GB"/>
        </w:rPr>
        <w:t xml:space="preserve">ffective experience exchange </w:t>
      </w:r>
      <w:r>
        <w:rPr>
          <w:rFonts w:ascii="Times New Roman" w:hAnsi="Times New Roman"/>
          <w:sz w:val="24"/>
          <w:szCs w:val="24"/>
          <w:lang w:val="en-GB"/>
        </w:rPr>
        <w:t>is</w:t>
      </w:r>
      <w:r w:rsidRPr="000F1605">
        <w:rPr>
          <w:rFonts w:ascii="Times New Roman" w:hAnsi="Times New Roman"/>
          <w:sz w:val="24"/>
          <w:szCs w:val="24"/>
          <w:lang w:val="en-GB"/>
        </w:rPr>
        <w:t xml:space="preserve"> </w:t>
      </w:r>
      <w:r w:rsidR="0096271D" w:rsidRPr="000F1605">
        <w:rPr>
          <w:rFonts w:ascii="Times New Roman" w:hAnsi="Times New Roman"/>
          <w:sz w:val="24"/>
          <w:szCs w:val="24"/>
          <w:lang w:val="en-GB"/>
        </w:rPr>
        <w:t>important element for implementing continuous improvement in this program</w:t>
      </w:r>
      <w:r w:rsidR="00300854">
        <w:rPr>
          <w:rFonts w:ascii="Times New Roman" w:hAnsi="Times New Roman"/>
          <w:sz w:val="24"/>
          <w:szCs w:val="24"/>
          <w:lang w:val="en-GB"/>
        </w:rPr>
        <w:t>me</w:t>
      </w:r>
      <w:r w:rsidR="0096271D" w:rsidRPr="000F1605">
        <w:rPr>
          <w:rFonts w:ascii="Times New Roman" w:hAnsi="Times New Roman"/>
          <w:sz w:val="24"/>
          <w:szCs w:val="24"/>
          <w:lang w:val="en-GB"/>
        </w:rPr>
        <w:t xml:space="preserve"> and in defining adequate corrective actions.</w:t>
      </w:r>
    </w:p>
    <w:p w14:paraId="4F1361D2" w14:textId="77777777" w:rsidR="00A35949" w:rsidRDefault="00C0739A" w:rsidP="00D365B9">
      <w:pPr>
        <w:pStyle w:val="Default"/>
        <w:spacing w:before="120" w:after="120"/>
        <w:jc w:val="both"/>
        <w:rPr>
          <w:rFonts w:ascii="Times New Roman" w:hAnsi="Times New Roman"/>
          <w:lang w:val="en-GB"/>
        </w:rPr>
      </w:pPr>
      <w:r w:rsidRPr="00C0739A">
        <w:rPr>
          <w:rFonts w:ascii="Times New Roman" w:hAnsi="Times New Roman"/>
          <w:lang w:val="en-GB"/>
        </w:rPr>
        <w:t>This programme includes provisions for continuing review of plant-specific and industry-wide operating experience, and research and development results, such that impact on the programme is evaluated and any necessary actions or modifications to the programme are implemented.</w:t>
      </w:r>
    </w:p>
    <w:p w14:paraId="359CA1A3" w14:textId="77777777" w:rsidR="00A35949" w:rsidRPr="00881712" w:rsidRDefault="00A35949" w:rsidP="00D365B9">
      <w:pPr>
        <w:pStyle w:val="Default"/>
        <w:spacing w:before="120" w:after="120"/>
        <w:jc w:val="both"/>
        <w:rPr>
          <w:rFonts w:ascii="Times New Roman" w:hAnsi="Times New Roman" w:cs="Times New Roman"/>
          <w:lang w:val="en-GB"/>
        </w:rPr>
      </w:pPr>
      <w:r w:rsidRPr="00881712">
        <w:rPr>
          <w:rFonts w:ascii="Times New Roman" w:hAnsi="Times New Roman" w:cs="Times New Roman"/>
          <w:lang w:val="en-GB"/>
        </w:rPr>
        <w:t>At the time when this AMP was produced, no relevant R&amp;D was identified.</w:t>
      </w:r>
    </w:p>
    <w:p w14:paraId="54F1B6B7" w14:textId="77777777" w:rsidR="00C0739A" w:rsidRPr="000F1605" w:rsidRDefault="00C0739A" w:rsidP="00D365B9">
      <w:pPr>
        <w:pStyle w:val="Body"/>
        <w:tabs>
          <w:tab w:val="clear" w:pos="360"/>
        </w:tabs>
        <w:ind w:left="0" w:firstLine="0"/>
        <w:jc w:val="both"/>
        <w:rPr>
          <w:rFonts w:ascii="Times New Roman" w:hAnsi="Times New Roman"/>
          <w:sz w:val="24"/>
          <w:szCs w:val="24"/>
          <w:lang w:val="en-GB"/>
        </w:rPr>
      </w:pPr>
    </w:p>
    <w:p w14:paraId="57FB75C7" w14:textId="77777777" w:rsidR="008A627E" w:rsidRPr="002B144A" w:rsidRDefault="008A627E" w:rsidP="00D365B9">
      <w:pPr>
        <w:pStyle w:val="BodyNumbered"/>
        <w:numPr>
          <w:ilvl w:val="0"/>
          <w:numId w:val="10"/>
        </w:numPr>
        <w:tabs>
          <w:tab w:val="clear" w:pos="360"/>
        </w:tabs>
        <w:ind w:left="426" w:hanging="426"/>
        <w:rPr>
          <w:rFonts w:ascii="Times New Roman" w:hAnsi="Times New Roman"/>
          <w:b/>
          <w:i/>
          <w:sz w:val="24"/>
          <w:szCs w:val="24"/>
          <w:lang w:val="en-GB"/>
        </w:rPr>
      </w:pPr>
      <w:r w:rsidRPr="002B144A">
        <w:rPr>
          <w:rFonts w:ascii="Times New Roman" w:hAnsi="Times New Roman"/>
          <w:b/>
          <w:i/>
          <w:sz w:val="24"/>
          <w:szCs w:val="24"/>
          <w:lang w:val="en-GB"/>
        </w:rPr>
        <w:t>Quality management</w:t>
      </w:r>
      <w:r w:rsidR="00DE0A26" w:rsidRPr="002B144A">
        <w:rPr>
          <w:rFonts w:ascii="Times New Roman" w:hAnsi="Times New Roman"/>
          <w:b/>
          <w:i/>
          <w:sz w:val="24"/>
          <w:szCs w:val="24"/>
          <w:lang w:val="en-GB"/>
        </w:rPr>
        <w:t>:</w:t>
      </w:r>
    </w:p>
    <w:p w14:paraId="64E23153" w14:textId="77777777" w:rsidR="0096271D" w:rsidRPr="002B144A" w:rsidRDefault="004456F4" w:rsidP="00D365B9">
      <w:pPr>
        <w:pStyle w:val="Default"/>
        <w:spacing w:before="120" w:after="120"/>
        <w:jc w:val="both"/>
        <w:rPr>
          <w:rFonts w:ascii="Times New Roman" w:hAnsi="Times New Roman" w:cs="Times New Roman"/>
          <w:lang w:val="en-GB"/>
        </w:rPr>
      </w:pPr>
      <w:r w:rsidRPr="002B144A">
        <w:rPr>
          <w:rFonts w:ascii="Times New Roman" w:hAnsi="Times New Roman" w:cs="Times New Roman"/>
          <w:lang w:val="en-GB"/>
        </w:rPr>
        <w:t xml:space="preserve">The AMP is carried out in agreement </w:t>
      </w:r>
      <w:r w:rsidR="0096271D" w:rsidRPr="002B144A">
        <w:rPr>
          <w:rFonts w:ascii="Times New Roman" w:hAnsi="Times New Roman" w:cs="Times New Roman"/>
          <w:lang w:val="en-GB"/>
        </w:rPr>
        <w:t>with site QA procedures, review and approval processes, and administrative controls, which are implemented in accordance with the different nationa</w:t>
      </w:r>
      <w:r w:rsidR="009731F0" w:rsidRPr="002B144A">
        <w:rPr>
          <w:rFonts w:ascii="Times New Roman" w:hAnsi="Times New Roman" w:cs="Times New Roman"/>
          <w:lang w:val="en-GB"/>
        </w:rPr>
        <w:t xml:space="preserve">l regulatory requirements </w:t>
      </w:r>
      <w:r w:rsidR="009009ED" w:rsidRPr="002B144A">
        <w:rPr>
          <w:rFonts w:ascii="Times New Roman" w:hAnsi="Times New Roman" w:cs="Times New Roman"/>
          <w:lang w:val="en-GB"/>
        </w:rPr>
        <w:t>for example</w:t>
      </w:r>
      <w:r w:rsidR="0096271D" w:rsidRPr="002B144A">
        <w:rPr>
          <w:rFonts w:ascii="Times New Roman" w:hAnsi="Times New Roman" w:cs="Times New Roman"/>
          <w:lang w:val="en-GB"/>
        </w:rPr>
        <w:t xml:space="preserve"> [</w:t>
      </w:r>
      <w:r w:rsidR="00034094">
        <w:rPr>
          <w:rFonts w:ascii="Times New Roman" w:hAnsi="Times New Roman" w:cs="Times New Roman"/>
          <w:lang w:val="en-GB"/>
        </w:rPr>
        <w:t>6</w:t>
      </w:r>
      <w:r w:rsidR="0005262D" w:rsidRPr="002B144A">
        <w:rPr>
          <w:rFonts w:ascii="Times New Roman" w:hAnsi="Times New Roman" w:cs="Times New Roman"/>
          <w:lang w:val="en-GB"/>
        </w:rPr>
        <w:t>-</w:t>
      </w:r>
      <w:r w:rsidR="00034094">
        <w:rPr>
          <w:rFonts w:ascii="Times New Roman" w:hAnsi="Times New Roman" w:cs="Times New Roman"/>
          <w:lang w:val="en-GB"/>
        </w:rPr>
        <w:t>7</w:t>
      </w:r>
      <w:r w:rsidR="0005262D" w:rsidRPr="002B144A">
        <w:rPr>
          <w:rFonts w:ascii="Times New Roman" w:hAnsi="Times New Roman" w:cs="Times New Roman"/>
          <w:lang w:val="en-GB"/>
        </w:rPr>
        <w:t>]</w:t>
      </w:r>
      <w:r w:rsidR="0085268A" w:rsidRPr="002B144A">
        <w:rPr>
          <w:rFonts w:ascii="Times New Roman" w:hAnsi="Times New Roman" w:cs="Times New Roman"/>
          <w:lang w:val="en-GB"/>
        </w:rPr>
        <w:t>,</w:t>
      </w:r>
      <w:r w:rsidR="0096271D" w:rsidRPr="002B144A">
        <w:rPr>
          <w:rFonts w:ascii="Times New Roman" w:hAnsi="Times New Roman" w:cs="Times New Roman"/>
          <w:lang w:val="en-GB"/>
        </w:rPr>
        <w:t xml:space="preserve"> or the different national standards</w:t>
      </w:r>
      <w:r w:rsidR="00A83D85" w:rsidRPr="002B144A">
        <w:rPr>
          <w:rFonts w:ascii="Times New Roman" w:hAnsi="Times New Roman" w:cs="Times New Roman"/>
          <w:lang w:val="en-GB"/>
        </w:rPr>
        <w:t>, and regulatory requirements</w:t>
      </w:r>
      <w:r w:rsidR="00816E2D" w:rsidRPr="002B144A">
        <w:rPr>
          <w:rFonts w:ascii="Times New Roman" w:hAnsi="Times New Roman" w:cs="Times New Roman"/>
          <w:lang w:val="en-GB"/>
        </w:rPr>
        <w:t xml:space="preserve"> [</w:t>
      </w:r>
      <w:r w:rsidR="00034094">
        <w:rPr>
          <w:rFonts w:ascii="Times New Roman" w:hAnsi="Times New Roman" w:cs="Times New Roman"/>
          <w:lang w:val="en-GB"/>
        </w:rPr>
        <w:t>5</w:t>
      </w:r>
      <w:r w:rsidR="00816E2D" w:rsidRPr="002B144A">
        <w:rPr>
          <w:rFonts w:ascii="Times New Roman" w:hAnsi="Times New Roman" w:cs="Times New Roman"/>
          <w:lang w:val="en-GB"/>
        </w:rPr>
        <w:t>]</w:t>
      </w:r>
      <w:r w:rsidR="0096271D" w:rsidRPr="002B144A">
        <w:rPr>
          <w:rFonts w:ascii="Times New Roman" w:hAnsi="Times New Roman" w:cs="Times New Roman"/>
          <w:lang w:val="en-GB"/>
        </w:rPr>
        <w:t xml:space="preserve">. </w:t>
      </w:r>
    </w:p>
    <w:p w14:paraId="548B3BC8" w14:textId="77777777" w:rsidR="003A6970" w:rsidRPr="00DC39B2" w:rsidRDefault="003A6970" w:rsidP="00D365B9">
      <w:pPr>
        <w:pStyle w:val="Body"/>
        <w:tabs>
          <w:tab w:val="clear" w:pos="360"/>
        </w:tabs>
        <w:ind w:left="0" w:firstLine="0"/>
        <w:jc w:val="both"/>
        <w:rPr>
          <w:rFonts w:ascii="Times New Roman" w:eastAsia="MS Mincho" w:hAnsi="Times New Roman"/>
          <w:color w:val="000000"/>
          <w:sz w:val="24"/>
          <w:szCs w:val="24"/>
          <w:lang w:val="en-GB"/>
        </w:rPr>
      </w:pPr>
      <w:r w:rsidRPr="00DC39B2">
        <w:rPr>
          <w:rFonts w:ascii="Times New Roman" w:eastAsia="MS Mincho" w:hAnsi="Times New Roman"/>
          <w:color w:val="000000"/>
          <w:sz w:val="24"/>
          <w:szCs w:val="24"/>
          <w:lang w:val="en-GB"/>
        </w:rPr>
        <w:t xml:space="preserve">Pressurizer Pre-Service Inspection (PSI) and In-Service Inspection </w:t>
      </w:r>
      <w:r w:rsidR="00300854">
        <w:rPr>
          <w:rFonts w:ascii="Times New Roman" w:eastAsia="MS Mincho" w:hAnsi="Times New Roman"/>
          <w:color w:val="000000"/>
          <w:sz w:val="24"/>
          <w:szCs w:val="24"/>
          <w:lang w:val="en-GB"/>
        </w:rPr>
        <w:t>are</w:t>
      </w:r>
      <w:r w:rsidRPr="00DC39B2">
        <w:rPr>
          <w:rFonts w:ascii="Times New Roman" w:eastAsia="MS Mincho" w:hAnsi="Times New Roman"/>
          <w:color w:val="000000"/>
          <w:sz w:val="24"/>
          <w:szCs w:val="24"/>
          <w:lang w:val="en-GB"/>
        </w:rPr>
        <w:t xml:space="preserve"> performed by the same instruments, devices, tools, methods and experts as possible as to reduce probability of extra error occurrences.</w:t>
      </w:r>
    </w:p>
    <w:p w14:paraId="7C814071" w14:textId="77777777" w:rsidR="00E65323" w:rsidRDefault="00D46960" w:rsidP="00D365B9">
      <w:pPr>
        <w:pStyle w:val="Body"/>
        <w:tabs>
          <w:tab w:val="clear" w:pos="360"/>
        </w:tabs>
        <w:ind w:left="0" w:firstLine="0"/>
        <w:jc w:val="both"/>
        <w:rPr>
          <w:rFonts w:ascii="Times New Roman" w:eastAsia="MS Mincho" w:hAnsi="Times New Roman"/>
          <w:color w:val="000000"/>
          <w:sz w:val="24"/>
          <w:szCs w:val="24"/>
          <w:lang w:val="en-GB"/>
        </w:rPr>
      </w:pPr>
      <w:r w:rsidRPr="00D46960">
        <w:rPr>
          <w:rFonts w:ascii="Times New Roman" w:eastAsia="MS Mincho" w:hAnsi="Times New Roman"/>
          <w:color w:val="000000"/>
          <w:sz w:val="24"/>
          <w:szCs w:val="24"/>
          <w:lang w:val="en-GB"/>
        </w:rPr>
        <w:t xml:space="preserve">The </w:t>
      </w:r>
      <w:r>
        <w:rPr>
          <w:rFonts w:ascii="Times New Roman" w:eastAsia="MS Mincho" w:hAnsi="Times New Roman"/>
          <w:color w:val="000000"/>
          <w:sz w:val="24"/>
          <w:szCs w:val="24"/>
          <w:lang w:val="en-GB"/>
        </w:rPr>
        <w:t xml:space="preserve">personal </w:t>
      </w:r>
      <w:r w:rsidRPr="00D46960">
        <w:rPr>
          <w:rFonts w:ascii="Times New Roman" w:eastAsia="MS Mincho" w:hAnsi="Times New Roman"/>
          <w:color w:val="000000"/>
          <w:sz w:val="24"/>
          <w:szCs w:val="24"/>
          <w:lang w:val="en-GB"/>
        </w:rPr>
        <w:t>perform</w:t>
      </w:r>
      <w:r>
        <w:rPr>
          <w:rFonts w:ascii="Times New Roman" w:eastAsia="MS Mincho" w:hAnsi="Times New Roman"/>
          <w:color w:val="000000"/>
          <w:sz w:val="24"/>
          <w:szCs w:val="24"/>
          <w:lang w:val="en-GB"/>
        </w:rPr>
        <w:t>ing</w:t>
      </w:r>
      <w:r w:rsidR="003A6970" w:rsidRPr="00DC39B2">
        <w:rPr>
          <w:rFonts w:ascii="Times New Roman" w:eastAsia="MS Mincho" w:hAnsi="Times New Roman"/>
          <w:color w:val="000000"/>
          <w:sz w:val="24"/>
          <w:szCs w:val="24"/>
          <w:lang w:val="en-GB"/>
        </w:rPr>
        <w:t xml:space="preserve"> these inspections </w:t>
      </w:r>
      <w:r w:rsidR="00300854">
        <w:rPr>
          <w:rFonts w:ascii="Times New Roman" w:eastAsia="MS Mincho" w:hAnsi="Times New Roman"/>
          <w:color w:val="000000"/>
          <w:sz w:val="24"/>
          <w:szCs w:val="24"/>
          <w:lang w:val="en-GB"/>
        </w:rPr>
        <w:t>is</w:t>
      </w:r>
      <w:r w:rsidR="003A6970" w:rsidRPr="00DC39B2">
        <w:rPr>
          <w:rFonts w:ascii="Times New Roman" w:eastAsia="MS Mincho" w:hAnsi="Times New Roman"/>
          <w:color w:val="000000"/>
          <w:sz w:val="24"/>
          <w:szCs w:val="24"/>
          <w:lang w:val="en-GB"/>
        </w:rPr>
        <w:t xml:space="preserve"> </w:t>
      </w:r>
      <w:r w:rsidR="003D459B" w:rsidRPr="00DC39B2">
        <w:rPr>
          <w:rFonts w:ascii="Times New Roman" w:eastAsia="MS Mincho" w:hAnsi="Times New Roman"/>
          <w:color w:val="000000"/>
          <w:sz w:val="24"/>
          <w:szCs w:val="24"/>
          <w:lang w:val="en-GB"/>
        </w:rPr>
        <w:t>certified</w:t>
      </w:r>
      <w:r w:rsidR="003A6970" w:rsidRPr="00DC39B2">
        <w:rPr>
          <w:rFonts w:ascii="Times New Roman" w:eastAsia="MS Mincho" w:hAnsi="Times New Roman"/>
          <w:color w:val="000000"/>
          <w:sz w:val="24"/>
          <w:szCs w:val="24"/>
          <w:lang w:val="en-GB"/>
        </w:rPr>
        <w:t xml:space="preserve"> by international or national legal organization. </w:t>
      </w:r>
      <w:r w:rsidR="003D459B" w:rsidRPr="00DC39B2">
        <w:rPr>
          <w:rFonts w:ascii="Times New Roman" w:eastAsia="MS Mincho" w:hAnsi="Times New Roman"/>
          <w:color w:val="000000"/>
          <w:sz w:val="24"/>
          <w:szCs w:val="24"/>
          <w:lang w:val="en-GB"/>
        </w:rPr>
        <w:t>Certification</w:t>
      </w:r>
      <w:r w:rsidR="003A6970" w:rsidRPr="00DC39B2">
        <w:rPr>
          <w:rFonts w:ascii="Times New Roman" w:eastAsia="MS Mincho" w:hAnsi="Times New Roman"/>
          <w:color w:val="000000"/>
          <w:sz w:val="24"/>
          <w:szCs w:val="24"/>
          <w:lang w:val="en-GB"/>
        </w:rPr>
        <w:t xml:space="preserve"> process contain</w:t>
      </w:r>
      <w:r w:rsidR="00300854">
        <w:rPr>
          <w:rFonts w:ascii="Times New Roman" w:eastAsia="MS Mincho" w:hAnsi="Times New Roman"/>
          <w:color w:val="000000"/>
          <w:sz w:val="24"/>
          <w:szCs w:val="24"/>
          <w:lang w:val="en-GB"/>
        </w:rPr>
        <w:t>s</w:t>
      </w:r>
      <w:r w:rsidR="003A6970" w:rsidRPr="00DC39B2">
        <w:rPr>
          <w:rFonts w:ascii="Times New Roman" w:eastAsia="MS Mincho" w:hAnsi="Times New Roman"/>
          <w:color w:val="000000"/>
          <w:sz w:val="24"/>
          <w:szCs w:val="24"/>
          <w:lang w:val="en-GB"/>
        </w:rPr>
        <w:t xml:space="preserve"> necessary education, work experience and other abilities. </w:t>
      </w:r>
    </w:p>
    <w:p w14:paraId="0592389F" w14:textId="77777777" w:rsidR="00300854" w:rsidRPr="00DC39B2" w:rsidRDefault="00300854" w:rsidP="00D365B9">
      <w:pPr>
        <w:pStyle w:val="Body"/>
        <w:tabs>
          <w:tab w:val="clear" w:pos="360"/>
        </w:tabs>
        <w:ind w:left="0" w:firstLine="0"/>
        <w:jc w:val="both"/>
        <w:rPr>
          <w:rFonts w:ascii="Times New Roman" w:eastAsia="MS Mincho" w:hAnsi="Times New Roman"/>
          <w:color w:val="000000"/>
          <w:sz w:val="24"/>
          <w:szCs w:val="24"/>
          <w:lang w:val="en-GB"/>
        </w:rPr>
      </w:pPr>
    </w:p>
    <w:p w14:paraId="5592F21E" w14:textId="77777777" w:rsidR="004456F4" w:rsidRPr="002B144A" w:rsidRDefault="004456F4" w:rsidP="00D365B9">
      <w:pPr>
        <w:pStyle w:val="Heading3"/>
        <w:spacing w:before="120"/>
        <w:rPr>
          <w:rFonts w:ascii="Times New Roman" w:hAnsi="Times New Roman"/>
          <w:sz w:val="24"/>
          <w:szCs w:val="24"/>
          <w:lang w:val="en-GB"/>
        </w:rPr>
      </w:pPr>
      <w:r w:rsidRPr="002B144A">
        <w:rPr>
          <w:rFonts w:ascii="Times New Roman" w:hAnsi="Times New Roman"/>
          <w:sz w:val="24"/>
          <w:szCs w:val="24"/>
          <w:lang w:val="en-GB"/>
        </w:rPr>
        <w:lastRenderedPageBreak/>
        <w:t>References</w:t>
      </w:r>
    </w:p>
    <w:p w14:paraId="015F583F" w14:textId="77777777" w:rsidR="004456F4" w:rsidRPr="002B144A" w:rsidRDefault="00AA0EA4" w:rsidP="00D365B9">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2B144A">
        <w:rPr>
          <w:rFonts w:ascii="Times New Roman" w:eastAsia="MS Mincho" w:hAnsi="Times New Roman"/>
          <w:color w:val="000000"/>
          <w:sz w:val="24"/>
          <w:szCs w:val="24"/>
          <w:lang w:val="en-GB"/>
        </w:rPr>
        <w:t xml:space="preserve">INTERNATIONAL ATOMIC ENERGY AGENCY, Safe </w:t>
      </w:r>
      <w:proofErr w:type="gramStart"/>
      <w:r w:rsidRPr="002B144A">
        <w:rPr>
          <w:rFonts w:ascii="Times New Roman" w:eastAsia="MS Mincho" w:hAnsi="Times New Roman"/>
          <w:color w:val="000000"/>
          <w:sz w:val="24"/>
          <w:szCs w:val="24"/>
          <w:lang w:val="en-GB"/>
        </w:rPr>
        <w:t>long term</w:t>
      </w:r>
      <w:proofErr w:type="gramEnd"/>
      <w:r w:rsidRPr="002B144A">
        <w:rPr>
          <w:rFonts w:ascii="Times New Roman" w:eastAsia="MS Mincho" w:hAnsi="Times New Roman"/>
          <w:color w:val="000000"/>
          <w:sz w:val="24"/>
          <w:szCs w:val="24"/>
          <w:lang w:val="en-GB"/>
        </w:rPr>
        <w:t xml:space="preserve"> operation of nuclear power plants, Safety Report Series No. 57, IAEA, Vienna</w:t>
      </w:r>
      <w:r w:rsidR="004F6892" w:rsidRPr="002B144A">
        <w:rPr>
          <w:rFonts w:ascii="Times New Roman" w:eastAsia="MS Mincho" w:hAnsi="Times New Roman"/>
          <w:color w:val="000000"/>
          <w:sz w:val="24"/>
          <w:szCs w:val="24"/>
          <w:lang w:val="en-GB"/>
        </w:rPr>
        <w:t>, 2008.</w:t>
      </w:r>
    </w:p>
    <w:p w14:paraId="41C91937" w14:textId="77777777" w:rsidR="00425846" w:rsidRPr="002B144A" w:rsidRDefault="00425846" w:rsidP="00D365B9">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2B144A">
        <w:rPr>
          <w:rFonts w:ascii="Times New Roman" w:eastAsia="MS Mincho" w:hAnsi="Times New Roman"/>
          <w:color w:val="000000"/>
          <w:sz w:val="24"/>
          <w:szCs w:val="24"/>
          <w:lang w:val="en-GB"/>
        </w:rPr>
        <w:t xml:space="preserve">Unified Procedure for Lifetime Assessment of Components and Piping in WWER NPPs during Operation, European Commission, COVERS – WP-D4.10, project VERLIFE, 2008. </w:t>
      </w:r>
    </w:p>
    <w:p w14:paraId="5AD932E3" w14:textId="77777777" w:rsidR="00425846" w:rsidRPr="002B144A" w:rsidRDefault="00425846" w:rsidP="00D365B9">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2B144A">
        <w:rPr>
          <w:rFonts w:ascii="Times New Roman" w:eastAsia="MS Mincho" w:hAnsi="Times New Roman"/>
          <w:color w:val="000000"/>
          <w:sz w:val="24"/>
          <w:szCs w:val="24"/>
          <w:lang w:val="en-GB"/>
        </w:rPr>
        <w:t xml:space="preserve">NUCLEAR REGULATORY AUTHORITY OF THE SLOVAK REPUBLIC, Aging management of NPP - requirements, National safety guide BNS I.9.2/2014, UJD-SR, 2014. </w:t>
      </w:r>
    </w:p>
    <w:p w14:paraId="598226F3" w14:textId="77777777" w:rsidR="00425846" w:rsidRPr="002B144A" w:rsidRDefault="00425846" w:rsidP="00D365B9">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2B144A">
        <w:rPr>
          <w:rFonts w:ascii="Times New Roman" w:eastAsia="MS Mincho" w:hAnsi="Times New Roman"/>
          <w:color w:val="000000"/>
          <w:sz w:val="24"/>
          <w:szCs w:val="24"/>
          <w:lang w:val="en-GB"/>
        </w:rPr>
        <w:t xml:space="preserve">STATE OFFICE FOR NUCLEAR SAFETY OF CZECH REPUBLIC, Aging management of NPP, National safety guide BN-JB-2.1, SUJB, </w:t>
      </w:r>
      <w:r w:rsidR="00D81394" w:rsidRPr="00275B58">
        <w:rPr>
          <w:rFonts w:ascii="Times New Roman" w:eastAsia="MS Mincho" w:hAnsi="Times New Roman"/>
          <w:color w:val="000000"/>
          <w:sz w:val="24"/>
          <w:szCs w:val="24"/>
          <w:lang w:val="en-GB"/>
        </w:rPr>
        <w:t>2015</w:t>
      </w:r>
      <w:r w:rsidRPr="00597A5E">
        <w:rPr>
          <w:rFonts w:ascii="Times New Roman" w:eastAsia="MS Mincho" w:hAnsi="Times New Roman"/>
          <w:color w:val="000000"/>
          <w:sz w:val="24"/>
          <w:szCs w:val="24"/>
          <w:lang w:val="en-GB"/>
        </w:rPr>
        <w:t>.</w:t>
      </w:r>
    </w:p>
    <w:p w14:paraId="711D151C" w14:textId="42906A5D" w:rsidR="00034094" w:rsidRPr="003A6686" w:rsidRDefault="00034094" w:rsidP="00D365B9">
      <w:pPr>
        <w:pStyle w:val="ListParagraph"/>
        <w:numPr>
          <w:ilvl w:val="0"/>
          <w:numId w:val="40"/>
        </w:numPr>
        <w:spacing w:before="120" w:after="120"/>
        <w:ind w:left="567" w:hanging="567"/>
        <w:contextualSpacing w:val="0"/>
        <w:jc w:val="both"/>
        <w:rPr>
          <w:rFonts w:ascii="Times New Roman" w:eastAsia="MS Mincho" w:hAnsi="Times New Roman"/>
          <w:color w:val="FF0000"/>
          <w:sz w:val="24"/>
          <w:szCs w:val="24"/>
          <w:lang w:val="en-GB"/>
        </w:rPr>
      </w:pPr>
      <w:r w:rsidRPr="003A6686">
        <w:rPr>
          <w:rFonts w:ascii="Times New Roman" w:eastAsia="MS Mincho" w:hAnsi="Times New Roman"/>
          <w:color w:val="FF0000"/>
          <w:sz w:val="24"/>
          <w:szCs w:val="24"/>
          <w:lang w:val="en-GB"/>
        </w:rPr>
        <w:t xml:space="preserve">Hungarian Atomic Energy Agency: Guideline 4.12. Ageing management during the operation of NPPs, </w:t>
      </w:r>
      <w:r w:rsidR="005E3BF5" w:rsidRPr="003A6686">
        <w:rPr>
          <w:rFonts w:ascii="Times New Roman" w:hAnsi="Times New Roman"/>
          <w:color w:val="FF0000"/>
          <w:sz w:val="24"/>
          <w:szCs w:val="24"/>
          <w:lang w:val="hu-HU" w:eastAsia="x-none"/>
        </w:rPr>
        <w:t>March 2016</w:t>
      </w:r>
      <w:r w:rsidRPr="003A6686">
        <w:rPr>
          <w:rFonts w:ascii="Times New Roman" w:eastAsia="MS Mincho" w:hAnsi="Times New Roman"/>
          <w:color w:val="FF0000"/>
          <w:sz w:val="24"/>
          <w:szCs w:val="24"/>
          <w:lang w:val="en-GB"/>
        </w:rPr>
        <w:t>.</w:t>
      </w:r>
    </w:p>
    <w:p w14:paraId="03BFD567" w14:textId="77777777" w:rsidR="00425846" w:rsidRPr="002B144A" w:rsidRDefault="00425846" w:rsidP="00D365B9">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2B144A">
        <w:rPr>
          <w:rFonts w:ascii="Times New Roman" w:eastAsia="MS Mincho" w:hAnsi="Times New Roman"/>
          <w:color w:val="000000"/>
          <w:sz w:val="24"/>
          <w:szCs w:val="24"/>
          <w:lang w:val="en-GB"/>
        </w:rPr>
        <w:t xml:space="preserve">STATE OFFICE FOR NUCLEAR SAFETY OF CZECH REPUBLIC, </w:t>
      </w:r>
      <w:hyperlink r:id="rId13" w:tooltip="Decree of the SÚJB No. 132/2008 Coll." w:history="1">
        <w:r w:rsidRPr="002B144A">
          <w:rPr>
            <w:rFonts w:ascii="Times New Roman" w:eastAsia="MS Mincho" w:hAnsi="Times New Roman"/>
            <w:color w:val="000000"/>
            <w:sz w:val="24"/>
            <w:szCs w:val="24"/>
            <w:lang w:val="en-GB"/>
          </w:rPr>
          <w:t>Decree No.132/2008</w:t>
        </w:r>
      </w:hyperlink>
      <w:r w:rsidRPr="002B144A">
        <w:rPr>
          <w:rFonts w:ascii="Times New Roman" w:eastAsia="MS Mincho" w:hAnsi="Times New Roman"/>
          <w:color w:val="000000"/>
          <w:sz w:val="24"/>
          <w:szCs w:val="24"/>
          <w:lang w:val="en-GB"/>
        </w:rPr>
        <w:t xml:space="preserve"> on Quality Assurance System in carrying out activities connected with utilization of nuclear energy and radiation protection, SUJB, 2008.</w:t>
      </w:r>
    </w:p>
    <w:p w14:paraId="716A7834" w14:textId="77777777" w:rsidR="00425846" w:rsidRPr="002B144A" w:rsidRDefault="00425846" w:rsidP="00D365B9">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2B144A">
        <w:rPr>
          <w:rFonts w:ascii="Times New Roman" w:eastAsia="MS Mincho" w:hAnsi="Times New Roman"/>
          <w:color w:val="000000"/>
          <w:sz w:val="24"/>
          <w:szCs w:val="24"/>
          <w:lang w:val="en-GB"/>
        </w:rPr>
        <w:t>NUCLEAR REGULATORY AUTHORITY OF THE SLOVAK REPUBLIC, Regulation No. 431/2011 on a quality management system, 2011, UJD-SR.</w:t>
      </w:r>
    </w:p>
    <w:p w14:paraId="1C924E0A" w14:textId="77777777" w:rsidR="0005262D" w:rsidRPr="002B144A" w:rsidRDefault="0005262D" w:rsidP="00300854">
      <w:pPr>
        <w:pStyle w:val="ListParagraph"/>
        <w:spacing w:after="120" w:line="276" w:lineRule="auto"/>
        <w:ind w:left="360"/>
        <w:jc w:val="both"/>
        <w:rPr>
          <w:rFonts w:ascii="Times New Roman" w:eastAsia="MS Mincho" w:hAnsi="Times New Roman"/>
          <w:color w:val="000000"/>
          <w:sz w:val="24"/>
          <w:szCs w:val="24"/>
          <w:lang w:val="en-GB"/>
        </w:rPr>
      </w:pPr>
    </w:p>
    <w:sectPr w:rsidR="0005262D" w:rsidRPr="002B144A" w:rsidSect="008E4FF5">
      <w:footerReference w:type="even" r:id="rId14"/>
      <w:footerReference w:type="default" r:id="rId15"/>
      <w:pgSz w:w="11906" w:h="16838"/>
      <w:pgMar w:top="1417" w:right="1274" w:bottom="1417" w:left="1418" w:header="708" w:footer="1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C999" w14:textId="77777777" w:rsidR="00007D7F" w:rsidRDefault="00007D7F">
      <w:r>
        <w:separator/>
      </w:r>
    </w:p>
  </w:endnote>
  <w:endnote w:type="continuationSeparator" w:id="0">
    <w:p w14:paraId="3B38FDD0" w14:textId="77777777" w:rsidR="00007D7F" w:rsidRDefault="0000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44829" w14:textId="77777777" w:rsidR="00564AAB" w:rsidRDefault="00564AAB"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00D9" w14:textId="77777777" w:rsidR="00564AAB" w:rsidRPr="00574D60" w:rsidRDefault="00564AAB" w:rsidP="008E4FF5">
    <w:pPr>
      <w:tabs>
        <w:tab w:val="center" w:pos="4680"/>
        <w:tab w:val="right" w:pos="9360"/>
      </w:tabs>
      <w:spacing w:before="240"/>
      <w:rPr>
        <w:rFonts w:cs="Arial"/>
        <w:sz w:val="20"/>
      </w:rPr>
    </w:pPr>
    <w:r w:rsidRPr="00FC6669">
      <w:rPr>
        <w:rFonts w:ascii="Times New Roman" w:hAnsi="Times New Roman"/>
        <w:sz w:val="20"/>
      </w:rPr>
      <w:tab/>
    </w:r>
    <w:r w:rsidRPr="00574D60">
      <w:rPr>
        <w:rFonts w:cs="Arial"/>
        <w:sz w:val="20"/>
      </w:rPr>
      <w:fldChar w:fldCharType="begin"/>
    </w:r>
    <w:r w:rsidRPr="00574D60">
      <w:rPr>
        <w:rFonts w:cs="Arial"/>
        <w:sz w:val="20"/>
      </w:rPr>
      <w:instrText xml:space="preserve"> PAGE  \* MERGEFORMAT </w:instrText>
    </w:r>
    <w:r w:rsidRPr="00574D60">
      <w:rPr>
        <w:rFonts w:cs="Arial"/>
        <w:sz w:val="20"/>
      </w:rPr>
      <w:fldChar w:fldCharType="separate"/>
    </w:r>
    <w:r w:rsidR="00D44E71">
      <w:rPr>
        <w:rFonts w:cs="Arial"/>
        <w:noProof/>
        <w:sz w:val="20"/>
      </w:rPr>
      <w:t>6</w:t>
    </w:r>
    <w:r w:rsidRPr="00574D60">
      <w:rPr>
        <w:rFonts w:cs="Arial"/>
        <w:sz w:val="20"/>
      </w:rPr>
      <w:fldChar w:fldCharType="end"/>
    </w:r>
    <w:r w:rsidRPr="00574D60">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67340" w14:textId="77777777" w:rsidR="00007D7F" w:rsidRDefault="00007D7F">
      <w:r>
        <w:separator/>
      </w:r>
    </w:p>
  </w:footnote>
  <w:footnote w:type="continuationSeparator" w:id="0">
    <w:p w14:paraId="359F07CC" w14:textId="77777777" w:rsidR="00007D7F" w:rsidRDefault="0000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107054DE"/>
    <w:multiLevelType w:val="hybridMultilevel"/>
    <w:tmpl w:val="AB185E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4"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039E9"/>
    <w:multiLevelType w:val="hybridMultilevel"/>
    <w:tmpl w:val="DB88A4F8"/>
    <w:lvl w:ilvl="0" w:tplc="7458B46E">
      <w:start w:val="1"/>
      <w:numFmt w:val="decimal"/>
      <w:lvlText w:val="%1."/>
      <w:lvlJc w:val="left"/>
      <w:pPr>
        <w:tabs>
          <w:tab w:val="num" w:pos="360"/>
        </w:tabs>
        <w:ind w:left="36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EB0191"/>
    <w:multiLevelType w:val="hybridMultilevel"/>
    <w:tmpl w:val="AF4CA18C"/>
    <w:lvl w:ilvl="0" w:tplc="7218703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1C3807"/>
    <w:multiLevelType w:val="hybridMultilevel"/>
    <w:tmpl w:val="93301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D74B2C"/>
    <w:multiLevelType w:val="hybridMultilevel"/>
    <w:tmpl w:val="667C2B68"/>
    <w:lvl w:ilvl="0" w:tplc="616829E4">
      <w:start w:val="1"/>
      <w:numFmt w:val="decimal"/>
      <w:lvlText w:val="[%1]"/>
      <w:lvlJc w:val="left"/>
      <w:pPr>
        <w:ind w:left="706" w:hanging="360"/>
      </w:pPr>
      <w:rPr>
        <w:rFonts w:hint="eastAsia"/>
      </w:rPr>
    </w:lvl>
    <w:lvl w:ilvl="1" w:tplc="041B0019" w:tentative="1">
      <w:start w:val="1"/>
      <w:numFmt w:val="lowerLetter"/>
      <w:lvlText w:val="%2."/>
      <w:lvlJc w:val="left"/>
      <w:pPr>
        <w:ind w:left="1426" w:hanging="360"/>
      </w:pPr>
    </w:lvl>
    <w:lvl w:ilvl="2" w:tplc="041B001B" w:tentative="1">
      <w:start w:val="1"/>
      <w:numFmt w:val="lowerRoman"/>
      <w:lvlText w:val="%3."/>
      <w:lvlJc w:val="right"/>
      <w:pPr>
        <w:ind w:left="2146" w:hanging="180"/>
      </w:pPr>
    </w:lvl>
    <w:lvl w:ilvl="3" w:tplc="041B000F" w:tentative="1">
      <w:start w:val="1"/>
      <w:numFmt w:val="decimal"/>
      <w:lvlText w:val="%4."/>
      <w:lvlJc w:val="left"/>
      <w:pPr>
        <w:ind w:left="2866" w:hanging="360"/>
      </w:pPr>
    </w:lvl>
    <w:lvl w:ilvl="4" w:tplc="041B0019" w:tentative="1">
      <w:start w:val="1"/>
      <w:numFmt w:val="lowerLetter"/>
      <w:lvlText w:val="%5."/>
      <w:lvlJc w:val="left"/>
      <w:pPr>
        <w:ind w:left="3586" w:hanging="360"/>
      </w:pPr>
    </w:lvl>
    <w:lvl w:ilvl="5" w:tplc="041B001B" w:tentative="1">
      <w:start w:val="1"/>
      <w:numFmt w:val="lowerRoman"/>
      <w:lvlText w:val="%6."/>
      <w:lvlJc w:val="right"/>
      <w:pPr>
        <w:ind w:left="4306" w:hanging="180"/>
      </w:pPr>
    </w:lvl>
    <w:lvl w:ilvl="6" w:tplc="041B000F" w:tentative="1">
      <w:start w:val="1"/>
      <w:numFmt w:val="decimal"/>
      <w:lvlText w:val="%7."/>
      <w:lvlJc w:val="left"/>
      <w:pPr>
        <w:ind w:left="5026" w:hanging="360"/>
      </w:pPr>
    </w:lvl>
    <w:lvl w:ilvl="7" w:tplc="041B0019" w:tentative="1">
      <w:start w:val="1"/>
      <w:numFmt w:val="lowerLetter"/>
      <w:lvlText w:val="%8."/>
      <w:lvlJc w:val="left"/>
      <w:pPr>
        <w:ind w:left="5746" w:hanging="360"/>
      </w:pPr>
    </w:lvl>
    <w:lvl w:ilvl="8" w:tplc="041B001B" w:tentative="1">
      <w:start w:val="1"/>
      <w:numFmt w:val="lowerRoman"/>
      <w:lvlText w:val="%9."/>
      <w:lvlJc w:val="right"/>
      <w:pPr>
        <w:ind w:left="6466" w:hanging="180"/>
      </w:pPr>
    </w:lvl>
  </w:abstractNum>
  <w:abstractNum w:abstractNumId="9" w15:restartNumberingAfterBreak="0">
    <w:nsid w:val="4C192C50"/>
    <w:multiLevelType w:val="multilevel"/>
    <w:tmpl w:val="8F68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9F405F"/>
    <w:multiLevelType w:val="hybridMultilevel"/>
    <w:tmpl w:val="87BA5FA0"/>
    <w:lvl w:ilvl="0" w:tplc="EA4849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DA6554"/>
    <w:multiLevelType w:val="hybridMultilevel"/>
    <w:tmpl w:val="358A5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412A5B"/>
    <w:multiLevelType w:val="hybridMultilevel"/>
    <w:tmpl w:val="5B82F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C80CD3"/>
    <w:multiLevelType w:val="hybridMultilevel"/>
    <w:tmpl w:val="4DB22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2"/>
  </w:num>
  <w:num w:numId="8">
    <w:abstractNumId w:val="7"/>
  </w:num>
  <w:num w:numId="9">
    <w:abstractNumId w:val="13"/>
  </w:num>
  <w:num w:numId="10">
    <w:abstractNumId w:val="5"/>
  </w:num>
  <w:num w:numId="11">
    <w:abstractNumId w:val="10"/>
  </w:num>
  <w:num w:numId="12">
    <w:abstractNumId w:val="8"/>
  </w:num>
  <w:num w:numId="13">
    <w:abstractNumId w:val="12"/>
  </w:num>
  <w:num w:numId="14">
    <w:abstractNumId w:val="9"/>
  </w:num>
  <w:num w:numId="15">
    <w:abstractNumId w:val="1"/>
  </w:num>
  <w:num w:numId="16">
    <w:abstractNumId w:val="1"/>
  </w:num>
  <w:num w:numId="17">
    <w:abstractNumId w:val="1"/>
  </w:num>
  <w:num w:numId="18">
    <w:abstractNumId w:val="11"/>
  </w:num>
  <w:num w:numId="19">
    <w:abstractNumId w:val="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4"/>
  </w:num>
  <w:num w:numId="4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36F0"/>
    <w:rsid w:val="00004CCA"/>
    <w:rsid w:val="00007D7F"/>
    <w:rsid w:val="0001291C"/>
    <w:rsid w:val="00015AB8"/>
    <w:rsid w:val="000161E9"/>
    <w:rsid w:val="0002000D"/>
    <w:rsid w:val="00023CD2"/>
    <w:rsid w:val="000276FC"/>
    <w:rsid w:val="00031AAC"/>
    <w:rsid w:val="00031F79"/>
    <w:rsid w:val="00033F56"/>
    <w:rsid w:val="00034094"/>
    <w:rsid w:val="00034313"/>
    <w:rsid w:val="00042918"/>
    <w:rsid w:val="00042ADC"/>
    <w:rsid w:val="0005262D"/>
    <w:rsid w:val="0005309E"/>
    <w:rsid w:val="00056B98"/>
    <w:rsid w:val="00061098"/>
    <w:rsid w:val="0006442B"/>
    <w:rsid w:val="00064936"/>
    <w:rsid w:val="00064CDE"/>
    <w:rsid w:val="00065654"/>
    <w:rsid w:val="00065F54"/>
    <w:rsid w:val="0007517E"/>
    <w:rsid w:val="000771EA"/>
    <w:rsid w:val="0008545D"/>
    <w:rsid w:val="00085ED9"/>
    <w:rsid w:val="000875B3"/>
    <w:rsid w:val="00087F90"/>
    <w:rsid w:val="0009406C"/>
    <w:rsid w:val="00094765"/>
    <w:rsid w:val="00094833"/>
    <w:rsid w:val="00096775"/>
    <w:rsid w:val="0009682F"/>
    <w:rsid w:val="00097245"/>
    <w:rsid w:val="00097DC1"/>
    <w:rsid w:val="000A37BA"/>
    <w:rsid w:val="000B2927"/>
    <w:rsid w:val="000B63C4"/>
    <w:rsid w:val="000B6BCD"/>
    <w:rsid w:val="000C2FBA"/>
    <w:rsid w:val="000C580D"/>
    <w:rsid w:val="000C6598"/>
    <w:rsid w:val="000C75CE"/>
    <w:rsid w:val="000D12A3"/>
    <w:rsid w:val="000D164F"/>
    <w:rsid w:val="000D40EC"/>
    <w:rsid w:val="000D56B5"/>
    <w:rsid w:val="000D7D96"/>
    <w:rsid w:val="000E050E"/>
    <w:rsid w:val="000E22B1"/>
    <w:rsid w:val="000E37F5"/>
    <w:rsid w:val="000E3D33"/>
    <w:rsid w:val="000E3FEA"/>
    <w:rsid w:val="000E63AF"/>
    <w:rsid w:val="000E7AC5"/>
    <w:rsid w:val="000F05BC"/>
    <w:rsid w:val="000F1605"/>
    <w:rsid w:val="000F7598"/>
    <w:rsid w:val="001056DC"/>
    <w:rsid w:val="00105C92"/>
    <w:rsid w:val="00105DC2"/>
    <w:rsid w:val="0010745D"/>
    <w:rsid w:val="00111F2E"/>
    <w:rsid w:val="001161DB"/>
    <w:rsid w:val="0011631D"/>
    <w:rsid w:val="00116E49"/>
    <w:rsid w:val="00124137"/>
    <w:rsid w:val="00126734"/>
    <w:rsid w:val="001311AC"/>
    <w:rsid w:val="001324E3"/>
    <w:rsid w:val="001428BF"/>
    <w:rsid w:val="00142BCF"/>
    <w:rsid w:val="00151E7A"/>
    <w:rsid w:val="001520EE"/>
    <w:rsid w:val="001547D9"/>
    <w:rsid w:val="00155652"/>
    <w:rsid w:val="00157AC1"/>
    <w:rsid w:val="00162858"/>
    <w:rsid w:val="00166B67"/>
    <w:rsid w:val="00166D33"/>
    <w:rsid w:val="00170B32"/>
    <w:rsid w:val="00170CFE"/>
    <w:rsid w:val="001716DF"/>
    <w:rsid w:val="00172A02"/>
    <w:rsid w:val="00177102"/>
    <w:rsid w:val="001810F4"/>
    <w:rsid w:val="00184830"/>
    <w:rsid w:val="00195F1B"/>
    <w:rsid w:val="0019714D"/>
    <w:rsid w:val="001A31CA"/>
    <w:rsid w:val="001A56A9"/>
    <w:rsid w:val="001A613C"/>
    <w:rsid w:val="001B5E7B"/>
    <w:rsid w:val="001C2DDA"/>
    <w:rsid w:val="001C3F5E"/>
    <w:rsid w:val="001C4CDF"/>
    <w:rsid w:val="001C55CF"/>
    <w:rsid w:val="001D1612"/>
    <w:rsid w:val="001D340F"/>
    <w:rsid w:val="001D3FD9"/>
    <w:rsid w:val="001D5617"/>
    <w:rsid w:val="001E0780"/>
    <w:rsid w:val="001E638D"/>
    <w:rsid w:val="001E6C2E"/>
    <w:rsid w:val="00202A30"/>
    <w:rsid w:val="0020330F"/>
    <w:rsid w:val="002034C4"/>
    <w:rsid w:val="002043A3"/>
    <w:rsid w:val="00207324"/>
    <w:rsid w:val="002108B0"/>
    <w:rsid w:val="00215920"/>
    <w:rsid w:val="0022062E"/>
    <w:rsid w:val="002218B9"/>
    <w:rsid w:val="002219CD"/>
    <w:rsid w:val="00221E4C"/>
    <w:rsid w:val="00222294"/>
    <w:rsid w:val="00225409"/>
    <w:rsid w:val="002266A0"/>
    <w:rsid w:val="00226BB4"/>
    <w:rsid w:val="002307F9"/>
    <w:rsid w:val="002309AF"/>
    <w:rsid w:val="00231145"/>
    <w:rsid w:val="002314FC"/>
    <w:rsid w:val="002418F0"/>
    <w:rsid w:val="00243EB4"/>
    <w:rsid w:val="002467DE"/>
    <w:rsid w:val="00252C3A"/>
    <w:rsid w:val="00254308"/>
    <w:rsid w:val="00254D95"/>
    <w:rsid w:val="002554CE"/>
    <w:rsid w:val="002613AD"/>
    <w:rsid w:val="00261647"/>
    <w:rsid w:val="00266996"/>
    <w:rsid w:val="002736DB"/>
    <w:rsid w:val="00273846"/>
    <w:rsid w:val="00275B58"/>
    <w:rsid w:val="002842DC"/>
    <w:rsid w:val="00285E3E"/>
    <w:rsid w:val="002875CB"/>
    <w:rsid w:val="00291B76"/>
    <w:rsid w:val="00294311"/>
    <w:rsid w:val="00294984"/>
    <w:rsid w:val="00294C41"/>
    <w:rsid w:val="002958FF"/>
    <w:rsid w:val="002A1A93"/>
    <w:rsid w:val="002A2B03"/>
    <w:rsid w:val="002A3367"/>
    <w:rsid w:val="002A47AC"/>
    <w:rsid w:val="002A7FE6"/>
    <w:rsid w:val="002B12C5"/>
    <w:rsid w:val="002B144A"/>
    <w:rsid w:val="002B1E43"/>
    <w:rsid w:val="002B47A2"/>
    <w:rsid w:val="002C608D"/>
    <w:rsid w:val="002C65C4"/>
    <w:rsid w:val="002C687B"/>
    <w:rsid w:val="002C7962"/>
    <w:rsid w:val="002D1C78"/>
    <w:rsid w:val="002D519D"/>
    <w:rsid w:val="002D5433"/>
    <w:rsid w:val="002D5977"/>
    <w:rsid w:val="002D5F55"/>
    <w:rsid w:val="002E0608"/>
    <w:rsid w:val="002E6771"/>
    <w:rsid w:val="002E74B3"/>
    <w:rsid w:val="002F0B22"/>
    <w:rsid w:val="002F2E8E"/>
    <w:rsid w:val="002F42FF"/>
    <w:rsid w:val="002F7DF4"/>
    <w:rsid w:val="00300854"/>
    <w:rsid w:val="00305E9B"/>
    <w:rsid w:val="003109DC"/>
    <w:rsid w:val="00310CD9"/>
    <w:rsid w:val="0031172D"/>
    <w:rsid w:val="00311A61"/>
    <w:rsid w:val="00312DA5"/>
    <w:rsid w:val="00313E69"/>
    <w:rsid w:val="00321164"/>
    <w:rsid w:val="00321AF5"/>
    <w:rsid w:val="0032271F"/>
    <w:rsid w:val="00323C2C"/>
    <w:rsid w:val="003257DA"/>
    <w:rsid w:val="003333FB"/>
    <w:rsid w:val="0033455B"/>
    <w:rsid w:val="00334F8C"/>
    <w:rsid w:val="00336D12"/>
    <w:rsid w:val="0035235E"/>
    <w:rsid w:val="00356D9D"/>
    <w:rsid w:val="00360B4A"/>
    <w:rsid w:val="0036560A"/>
    <w:rsid w:val="00366F20"/>
    <w:rsid w:val="0036719A"/>
    <w:rsid w:val="00382782"/>
    <w:rsid w:val="00384BA9"/>
    <w:rsid w:val="0039220F"/>
    <w:rsid w:val="00393795"/>
    <w:rsid w:val="00394933"/>
    <w:rsid w:val="00395576"/>
    <w:rsid w:val="003975B0"/>
    <w:rsid w:val="003A0D65"/>
    <w:rsid w:val="003A6686"/>
    <w:rsid w:val="003A6970"/>
    <w:rsid w:val="003B03BB"/>
    <w:rsid w:val="003B0D22"/>
    <w:rsid w:val="003B3071"/>
    <w:rsid w:val="003B31FA"/>
    <w:rsid w:val="003B38A3"/>
    <w:rsid w:val="003B3C78"/>
    <w:rsid w:val="003B4401"/>
    <w:rsid w:val="003B4C65"/>
    <w:rsid w:val="003B5BC1"/>
    <w:rsid w:val="003B70B2"/>
    <w:rsid w:val="003C012A"/>
    <w:rsid w:val="003C2C66"/>
    <w:rsid w:val="003C303A"/>
    <w:rsid w:val="003C7567"/>
    <w:rsid w:val="003C7663"/>
    <w:rsid w:val="003D459B"/>
    <w:rsid w:val="003D5709"/>
    <w:rsid w:val="003E420B"/>
    <w:rsid w:val="003E77FC"/>
    <w:rsid w:val="003E7968"/>
    <w:rsid w:val="003F0A12"/>
    <w:rsid w:val="003F1B6A"/>
    <w:rsid w:val="003F1C01"/>
    <w:rsid w:val="003F3DD4"/>
    <w:rsid w:val="003F4D3B"/>
    <w:rsid w:val="003F5428"/>
    <w:rsid w:val="00410474"/>
    <w:rsid w:val="00414157"/>
    <w:rsid w:val="00415C20"/>
    <w:rsid w:val="00420C5D"/>
    <w:rsid w:val="0042223C"/>
    <w:rsid w:val="00423599"/>
    <w:rsid w:val="00425846"/>
    <w:rsid w:val="00426ECA"/>
    <w:rsid w:val="00430342"/>
    <w:rsid w:val="00433A51"/>
    <w:rsid w:val="004429D2"/>
    <w:rsid w:val="00443410"/>
    <w:rsid w:val="00445699"/>
    <w:rsid w:val="004456F4"/>
    <w:rsid w:val="00446AB0"/>
    <w:rsid w:val="00446CAF"/>
    <w:rsid w:val="004528B8"/>
    <w:rsid w:val="004542AD"/>
    <w:rsid w:val="0045517F"/>
    <w:rsid w:val="00463999"/>
    <w:rsid w:val="00467670"/>
    <w:rsid w:val="004724AB"/>
    <w:rsid w:val="00472F1C"/>
    <w:rsid w:val="00474D7E"/>
    <w:rsid w:val="00480E00"/>
    <w:rsid w:val="00481A84"/>
    <w:rsid w:val="004822AD"/>
    <w:rsid w:val="004859A6"/>
    <w:rsid w:val="004906DF"/>
    <w:rsid w:val="004A17F2"/>
    <w:rsid w:val="004A27F1"/>
    <w:rsid w:val="004A5EC9"/>
    <w:rsid w:val="004A732C"/>
    <w:rsid w:val="004B5C1E"/>
    <w:rsid w:val="004B72BC"/>
    <w:rsid w:val="004C1EE9"/>
    <w:rsid w:val="004C4E0F"/>
    <w:rsid w:val="004D34DC"/>
    <w:rsid w:val="004D3E2F"/>
    <w:rsid w:val="004E0B09"/>
    <w:rsid w:val="004E121D"/>
    <w:rsid w:val="004E37C6"/>
    <w:rsid w:val="004E3D90"/>
    <w:rsid w:val="004E66AE"/>
    <w:rsid w:val="004E729B"/>
    <w:rsid w:val="004E75BC"/>
    <w:rsid w:val="004F3044"/>
    <w:rsid w:val="004F35A0"/>
    <w:rsid w:val="004F39DC"/>
    <w:rsid w:val="004F4BC6"/>
    <w:rsid w:val="004F4F4A"/>
    <w:rsid w:val="004F6892"/>
    <w:rsid w:val="00501E98"/>
    <w:rsid w:val="00503893"/>
    <w:rsid w:val="005061E5"/>
    <w:rsid w:val="00507790"/>
    <w:rsid w:val="00511C15"/>
    <w:rsid w:val="005127DD"/>
    <w:rsid w:val="005129C1"/>
    <w:rsid w:val="0051437B"/>
    <w:rsid w:val="005148B6"/>
    <w:rsid w:val="00514BD7"/>
    <w:rsid w:val="00517C0F"/>
    <w:rsid w:val="00517C36"/>
    <w:rsid w:val="0052363A"/>
    <w:rsid w:val="0053003B"/>
    <w:rsid w:val="005322A7"/>
    <w:rsid w:val="005358D0"/>
    <w:rsid w:val="00536B25"/>
    <w:rsid w:val="005423A5"/>
    <w:rsid w:val="00545AA3"/>
    <w:rsid w:val="0055268C"/>
    <w:rsid w:val="00553330"/>
    <w:rsid w:val="00555123"/>
    <w:rsid w:val="00562942"/>
    <w:rsid w:val="00564416"/>
    <w:rsid w:val="00564AAB"/>
    <w:rsid w:val="00573DC6"/>
    <w:rsid w:val="00574D60"/>
    <w:rsid w:val="005756CE"/>
    <w:rsid w:val="00576129"/>
    <w:rsid w:val="00576176"/>
    <w:rsid w:val="005765D5"/>
    <w:rsid w:val="00584A94"/>
    <w:rsid w:val="005939E5"/>
    <w:rsid w:val="00594122"/>
    <w:rsid w:val="00597254"/>
    <w:rsid w:val="00597A5E"/>
    <w:rsid w:val="00597C4C"/>
    <w:rsid w:val="005A0D49"/>
    <w:rsid w:val="005A25C8"/>
    <w:rsid w:val="005A53A2"/>
    <w:rsid w:val="005B0B02"/>
    <w:rsid w:val="005B29DA"/>
    <w:rsid w:val="005B2A49"/>
    <w:rsid w:val="005B58E7"/>
    <w:rsid w:val="005B5C52"/>
    <w:rsid w:val="005B5D6E"/>
    <w:rsid w:val="005C09A0"/>
    <w:rsid w:val="005C2E89"/>
    <w:rsid w:val="005C3002"/>
    <w:rsid w:val="005C4425"/>
    <w:rsid w:val="005D3CFE"/>
    <w:rsid w:val="005D777B"/>
    <w:rsid w:val="005E1E7D"/>
    <w:rsid w:val="005E3BF5"/>
    <w:rsid w:val="005E60C6"/>
    <w:rsid w:val="005F0956"/>
    <w:rsid w:val="005F35CA"/>
    <w:rsid w:val="005F3F4A"/>
    <w:rsid w:val="005F4A27"/>
    <w:rsid w:val="0061004C"/>
    <w:rsid w:val="00610CDA"/>
    <w:rsid w:val="0061305D"/>
    <w:rsid w:val="00614A7B"/>
    <w:rsid w:val="006220F3"/>
    <w:rsid w:val="00627CFC"/>
    <w:rsid w:val="00630801"/>
    <w:rsid w:val="00640785"/>
    <w:rsid w:val="0064140D"/>
    <w:rsid w:val="00641A49"/>
    <w:rsid w:val="00644C55"/>
    <w:rsid w:val="00645E2C"/>
    <w:rsid w:val="006518F3"/>
    <w:rsid w:val="00652A87"/>
    <w:rsid w:val="00652C7B"/>
    <w:rsid w:val="00652FAB"/>
    <w:rsid w:val="00655854"/>
    <w:rsid w:val="00656219"/>
    <w:rsid w:val="00665BAE"/>
    <w:rsid w:val="00672341"/>
    <w:rsid w:val="00677BC4"/>
    <w:rsid w:val="00680F5D"/>
    <w:rsid w:val="00681D00"/>
    <w:rsid w:val="00683A05"/>
    <w:rsid w:val="006848FD"/>
    <w:rsid w:val="00684A23"/>
    <w:rsid w:val="00686D5A"/>
    <w:rsid w:val="00686F98"/>
    <w:rsid w:val="00695B52"/>
    <w:rsid w:val="00697953"/>
    <w:rsid w:val="00697974"/>
    <w:rsid w:val="006A1705"/>
    <w:rsid w:val="006A7B0E"/>
    <w:rsid w:val="006A7C99"/>
    <w:rsid w:val="006B3513"/>
    <w:rsid w:val="006B535E"/>
    <w:rsid w:val="006B6872"/>
    <w:rsid w:val="006C4AF8"/>
    <w:rsid w:val="006C78E4"/>
    <w:rsid w:val="006D0B82"/>
    <w:rsid w:val="006D612A"/>
    <w:rsid w:val="006E08F3"/>
    <w:rsid w:val="006E1F32"/>
    <w:rsid w:val="006E6BAB"/>
    <w:rsid w:val="006F269D"/>
    <w:rsid w:val="006F3FB1"/>
    <w:rsid w:val="0070117D"/>
    <w:rsid w:val="00701E21"/>
    <w:rsid w:val="007022B4"/>
    <w:rsid w:val="00703F32"/>
    <w:rsid w:val="00705104"/>
    <w:rsid w:val="0071447B"/>
    <w:rsid w:val="0071521F"/>
    <w:rsid w:val="00716E65"/>
    <w:rsid w:val="00717AB4"/>
    <w:rsid w:val="007206F4"/>
    <w:rsid w:val="00722D07"/>
    <w:rsid w:val="00723493"/>
    <w:rsid w:val="00725D8E"/>
    <w:rsid w:val="0073120A"/>
    <w:rsid w:val="00733AAD"/>
    <w:rsid w:val="00734570"/>
    <w:rsid w:val="007356B6"/>
    <w:rsid w:val="00737C12"/>
    <w:rsid w:val="00742ACB"/>
    <w:rsid w:val="00745330"/>
    <w:rsid w:val="0074573C"/>
    <w:rsid w:val="0074609B"/>
    <w:rsid w:val="00747218"/>
    <w:rsid w:val="00747BC8"/>
    <w:rsid w:val="007525EC"/>
    <w:rsid w:val="0075649F"/>
    <w:rsid w:val="00757188"/>
    <w:rsid w:val="00765CC4"/>
    <w:rsid w:val="007733E0"/>
    <w:rsid w:val="0077493A"/>
    <w:rsid w:val="00774B9B"/>
    <w:rsid w:val="00776762"/>
    <w:rsid w:val="00776B7E"/>
    <w:rsid w:val="007805E6"/>
    <w:rsid w:val="007847D3"/>
    <w:rsid w:val="007851E1"/>
    <w:rsid w:val="00792BB0"/>
    <w:rsid w:val="0079325B"/>
    <w:rsid w:val="007932A4"/>
    <w:rsid w:val="00796035"/>
    <w:rsid w:val="00796D8C"/>
    <w:rsid w:val="007970F9"/>
    <w:rsid w:val="0079756F"/>
    <w:rsid w:val="00797AC3"/>
    <w:rsid w:val="007A1673"/>
    <w:rsid w:val="007A4C8C"/>
    <w:rsid w:val="007A592E"/>
    <w:rsid w:val="007A6A33"/>
    <w:rsid w:val="007A6D99"/>
    <w:rsid w:val="007A7EDB"/>
    <w:rsid w:val="007B1ACD"/>
    <w:rsid w:val="007B3137"/>
    <w:rsid w:val="007B587C"/>
    <w:rsid w:val="007B6E69"/>
    <w:rsid w:val="007B780D"/>
    <w:rsid w:val="007C210E"/>
    <w:rsid w:val="007C2CB1"/>
    <w:rsid w:val="007C3065"/>
    <w:rsid w:val="007D12EA"/>
    <w:rsid w:val="007E2799"/>
    <w:rsid w:val="007E38D4"/>
    <w:rsid w:val="007E3EB0"/>
    <w:rsid w:val="007E5D47"/>
    <w:rsid w:val="007F0D0D"/>
    <w:rsid w:val="007F27AE"/>
    <w:rsid w:val="007F2908"/>
    <w:rsid w:val="007F3653"/>
    <w:rsid w:val="007F6422"/>
    <w:rsid w:val="007F6B19"/>
    <w:rsid w:val="00803F46"/>
    <w:rsid w:val="00803FB7"/>
    <w:rsid w:val="008049B7"/>
    <w:rsid w:val="00804CE1"/>
    <w:rsid w:val="00805B37"/>
    <w:rsid w:val="0080664C"/>
    <w:rsid w:val="00810C61"/>
    <w:rsid w:val="00811D5B"/>
    <w:rsid w:val="00816E2D"/>
    <w:rsid w:val="0082598E"/>
    <w:rsid w:val="008265A2"/>
    <w:rsid w:val="00826FF3"/>
    <w:rsid w:val="008340B4"/>
    <w:rsid w:val="00834A31"/>
    <w:rsid w:val="008366BB"/>
    <w:rsid w:val="00841FBD"/>
    <w:rsid w:val="0084207B"/>
    <w:rsid w:val="00845FB9"/>
    <w:rsid w:val="008478D9"/>
    <w:rsid w:val="00847B35"/>
    <w:rsid w:val="0085268A"/>
    <w:rsid w:val="00853879"/>
    <w:rsid w:val="0085672D"/>
    <w:rsid w:val="00857940"/>
    <w:rsid w:val="008616E2"/>
    <w:rsid w:val="008640DE"/>
    <w:rsid w:val="0086545B"/>
    <w:rsid w:val="00871D04"/>
    <w:rsid w:val="0087464F"/>
    <w:rsid w:val="00876031"/>
    <w:rsid w:val="00876195"/>
    <w:rsid w:val="00881712"/>
    <w:rsid w:val="00883E48"/>
    <w:rsid w:val="008854A3"/>
    <w:rsid w:val="00890478"/>
    <w:rsid w:val="0089175B"/>
    <w:rsid w:val="008A24B2"/>
    <w:rsid w:val="008A6148"/>
    <w:rsid w:val="008A627E"/>
    <w:rsid w:val="008A756E"/>
    <w:rsid w:val="008B20F5"/>
    <w:rsid w:val="008B2D56"/>
    <w:rsid w:val="008B2D7B"/>
    <w:rsid w:val="008B54C4"/>
    <w:rsid w:val="008C005D"/>
    <w:rsid w:val="008C5AFA"/>
    <w:rsid w:val="008C5EC4"/>
    <w:rsid w:val="008C6FC6"/>
    <w:rsid w:val="008C71F8"/>
    <w:rsid w:val="008D323F"/>
    <w:rsid w:val="008D49F2"/>
    <w:rsid w:val="008D67A9"/>
    <w:rsid w:val="008D6CB8"/>
    <w:rsid w:val="008E05FD"/>
    <w:rsid w:val="008E4023"/>
    <w:rsid w:val="008E4FF5"/>
    <w:rsid w:val="008F2B9E"/>
    <w:rsid w:val="008F4C2D"/>
    <w:rsid w:val="008F6CB8"/>
    <w:rsid w:val="009009ED"/>
    <w:rsid w:val="009044F3"/>
    <w:rsid w:val="0090454A"/>
    <w:rsid w:val="009075F9"/>
    <w:rsid w:val="00907D65"/>
    <w:rsid w:val="0091227D"/>
    <w:rsid w:val="009154A0"/>
    <w:rsid w:val="00921551"/>
    <w:rsid w:val="009229A7"/>
    <w:rsid w:val="00923D61"/>
    <w:rsid w:val="00924DD6"/>
    <w:rsid w:val="00925819"/>
    <w:rsid w:val="0093326F"/>
    <w:rsid w:val="00934EC7"/>
    <w:rsid w:val="009350E6"/>
    <w:rsid w:val="0094630A"/>
    <w:rsid w:val="009507FC"/>
    <w:rsid w:val="0095113C"/>
    <w:rsid w:val="00953232"/>
    <w:rsid w:val="00953C71"/>
    <w:rsid w:val="00953F5F"/>
    <w:rsid w:val="00961552"/>
    <w:rsid w:val="0096271D"/>
    <w:rsid w:val="0096413D"/>
    <w:rsid w:val="009676BB"/>
    <w:rsid w:val="00971C4F"/>
    <w:rsid w:val="00972045"/>
    <w:rsid w:val="009731F0"/>
    <w:rsid w:val="00974385"/>
    <w:rsid w:val="00984D7F"/>
    <w:rsid w:val="00991100"/>
    <w:rsid w:val="0099574D"/>
    <w:rsid w:val="00997C5E"/>
    <w:rsid w:val="009A1719"/>
    <w:rsid w:val="009A2AEE"/>
    <w:rsid w:val="009A2B0B"/>
    <w:rsid w:val="009A7659"/>
    <w:rsid w:val="009B0A89"/>
    <w:rsid w:val="009B4681"/>
    <w:rsid w:val="009C0629"/>
    <w:rsid w:val="009C1E55"/>
    <w:rsid w:val="009C1E8C"/>
    <w:rsid w:val="009C4611"/>
    <w:rsid w:val="009C5A4E"/>
    <w:rsid w:val="009C7459"/>
    <w:rsid w:val="009C761B"/>
    <w:rsid w:val="009D2315"/>
    <w:rsid w:val="009D253E"/>
    <w:rsid w:val="009D2AE6"/>
    <w:rsid w:val="009D2C0D"/>
    <w:rsid w:val="009D30D5"/>
    <w:rsid w:val="009D30E3"/>
    <w:rsid w:val="009D316A"/>
    <w:rsid w:val="009D5241"/>
    <w:rsid w:val="009D71D4"/>
    <w:rsid w:val="009E1669"/>
    <w:rsid w:val="009E6721"/>
    <w:rsid w:val="009F18D3"/>
    <w:rsid w:val="009F7B89"/>
    <w:rsid w:val="00A019F7"/>
    <w:rsid w:val="00A02337"/>
    <w:rsid w:val="00A026C4"/>
    <w:rsid w:val="00A06543"/>
    <w:rsid w:val="00A1612C"/>
    <w:rsid w:val="00A24390"/>
    <w:rsid w:val="00A26D51"/>
    <w:rsid w:val="00A26F54"/>
    <w:rsid w:val="00A30489"/>
    <w:rsid w:val="00A35949"/>
    <w:rsid w:val="00A361CD"/>
    <w:rsid w:val="00A41E1A"/>
    <w:rsid w:val="00A45BDA"/>
    <w:rsid w:val="00A474AF"/>
    <w:rsid w:val="00A5085C"/>
    <w:rsid w:val="00A57128"/>
    <w:rsid w:val="00A57AC5"/>
    <w:rsid w:val="00A67AEB"/>
    <w:rsid w:val="00A67DE7"/>
    <w:rsid w:val="00A70481"/>
    <w:rsid w:val="00A83D85"/>
    <w:rsid w:val="00A840AB"/>
    <w:rsid w:val="00A87615"/>
    <w:rsid w:val="00A93D93"/>
    <w:rsid w:val="00A94682"/>
    <w:rsid w:val="00A959BE"/>
    <w:rsid w:val="00A971D5"/>
    <w:rsid w:val="00AA09C9"/>
    <w:rsid w:val="00AA0EA4"/>
    <w:rsid w:val="00AA14B3"/>
    <w:rsid w:val="00AA2107"/>
    <w:rsid w:val="00AA2A67"/>
    <w:rsid w:val="00AA491E"/>
    <w:rsid w:val="00AA5565"/>
    <w:rsid w:val="00AB2C59"/>
    <w:rsid w:val="00AB4191"/>
    <w:rsid w:val="00AB5107"/>
    <w:rsid w:val="00AB5BAD"/>
    <w:rsid w:val="00AB76B0"/>
    <w:rsid w:val="00AC0B59"/>
    <w:rsid w:val="00AC1127"/>
    <w:rsid w:val="00AC6770"/>
    <w:rsid w:val="00AD3BD2"/>
    <w:rsid w:val="00AD5AD0"/>
    <w:rsid w:val="00AD64B5"/>
    <w:rsid w:val="00AE27FF"/>
    <w:rsid w:val="00AE3E1B"/>
    <w:rsid w:val="00AE404D"/>
    <w:rsid w:val="00AE7231"/>
    <w:rsid w:val="00AF0F9D"/>
    <w:rsid w:val="00AF7A30"/>
    <w:rsid w:val="00B025DD"/>
    <w:rsid w:val="00B04665"/>
    <w:rsid w:val="00B0739C"/>
    <w:rsid w:val="00B0792F"/>
    <w:rsid w:val="00B1355E"/>
    <w:rsid w:val="00B16C51"/>
    <w:rsid w:val="00B1703A"/>
    <w:rsid w:val="00B173F0"/>
    <w:rsid w:val="00B21875"/>
    <w:rsid w:val="00B32BF1"/>
    <w:rsid w:val="00B35A8B"/>
    <w:rsid w:val="00B35E43"/>
    <w:rsid w:val="00B3647B"/>
    <w:rsid w:val="00B461E0"/>
    <w:rsid w:val="00B53B08"/>
    <w:rsid w:val="00B53B39"/>
    <w:rsid w:val="00B57D57"/>
    <w:rsid w:val="00B61765"/>
    <w:rsid w:val="00B638E9"/>
    <w:rsid w:val="00B73C51"/>
    <w:rsid w:val="00B77F0B"/>
    <w:rsid w:val="00B84D9A"/>
    <w:rsid w:val="00B876A1"/>
    <w:rsid w:val="00B877B7"/>
    <w:rsid w:val="00B87CAF"/>
    <w:rsid w:val="00B901B1"/>
    <w:rsid w:val="00B90DC0"/>
    <w:rsid w:val="00B91076"/>
    <w:rsid w:val="00B92176"/>
    <w:rsid w:val="00B95C9E"/>
    <w:rsid w:val="00B978FC"/>
    <w:rsid w:val="00BA4B5A"/>
    <w:rsid w:val="00BA4BA1"/>
    <w:rsid w:val="00BA541D"/>
    <w:rsid w:val="00BA7144"/>
    <w:rsid w:val="00BB57BB"/>
    <w:rsid w:val="00BC0AB8"/>
    <w:rsid w:val="00BC47BD"/>
    <w:rsid w:val="00BC4ACE"/>
    <w:rsid w:val="00BD1255"/>
    <w:rsid w:val="00BD2627"/>
    <w:rsid w:val="00BD4508"/>
    <w:rsid w:val="00BD498A"/>
    <w:rsid w:val="00BD769C"/>
    <w:rsid w:val="00BE0887"/>
    <w:rsid w:val="00BE15B5"/>
    <w:rsid w:val="00BE3C74"/>
    <w:rsid w:val="00BE4CF5"/>
    <w:rsid w:val="00BE4E14"/>
    <w:rsid w:val="00BE7EF2"/>
    <w:rsid w:val="00BF090A"/>
    <w:rsid w:val="00BF1BE5"/>
    <w:rsid w:val="00BF44F3"/>
    <w:rsid w:val="00BF6F23"/>
    <w:rsid w:val="00C01CD2"/>
    <w:rsid w:val="00C051C9"/>
    <w:rsid w:val="00C05C97"/>
    <w:rsid w:val="00C05CD9"/>
    <w:rsid w:val="00C0739A"/>
    <w:rsid w:val="00C13C64"/>
    <w:rsid w:val="00C1614F"/>
    <w:rsid w:val="00C16A40"/>
    <w:rsid w:val="00C16F6B"/>
    <w:rsid w:val="00C205A9"/>
    <w:rsid w:val="00C2266F"/>
    <w:rsid w:val="00C22B41"/>
    <w:rsid w:val="00C23D85"/>
    <w:rsid w:val="00C247D3"/>
    <w:rsid w:val="00C323C4"/>
    <w:rsid w:val="00C33D13"/>
    <w:rsid w:val="00C40D0F"/>
    <w:rsid w:val="00C414C2"/>
    <w:rsid w:val="00C42981"/>
    <w:rsid w:val="00C4394E"/>
    <w:rsid w:val="00C460D6"/>
    <w:rsid w:val="00C46A2B"/>
    <w:rsid w:val="00C475BF"/>
    <w:rsid w:val="00C512A5"/>
    <w:rsid w:val="00C565AC"/>
    <w:rsid w:val="00C60113"/>
    <w:rsid w:val="00C6220A"/>
    <w:rsid w:val="00C63BCF"/>
    <w:rsid w:val="00C64024"/>
    <w:rsid w:val="00C65001"/>
    <w:rsid w:val="00C668FC"/>
    <w:rsid w:val="00C67943"/>
    <w:rsid w:val="00C7042B"/>
    <w:rsid w:val="00C76EA2"/>
    <w:rsid w:val="00C80BDF"/>
    <w:rsid w:val="00C82741"/>
    <w:rsid w:val="00C8299F"/>
    <w:rsid w:val="00C83FBB"/>
    <w:rsid w:val="00C84D13"/>
    <w:rsid w:val="00C85058"/>
    <w:rsid w:val="00C85BF8"/>
    <w:rsid w:val="00C9298A"/>
    <w:rsid w:val="00C9736C"/>
    <w:rsid w:val="00C977DB"/>
    <w:rsid w:val="00CA5129"/>
    <w:rsid w:val="00CA5E77"/>
    <w:rsid w:val="00CB0122"/>
    <w:rsid w:val="00CB0689"/>
    <w:rsid w:val="00CB5840"/>
    <w:rsid w:val="00CB7385"/>
    <w:rsid w:val="00CC0DDE"/>
    <w:rsid w:val="00CC10D7"/>
    <w:rsid w:val="00CC3B13"/>
    <w:rsid w:val="00CC7EE0"/>
    <w:rsid w:val="00CD65E8"/>
    <w:rsid w:val="00CD74F2"/>
    <w:rsid w:val="00CE2CC1"/>
    <w:rsid w:val="00CE47E1"/>
    <w:rsid w:val="00CE5F7C"/>
    <w:rsid w:val="00CE6683"/>
    <w:rsid w:val="00CE68E1"/>
    <w:rsid w:val="00CE7C24"/>
    <w:rsid w:val="00CE7D3E"/>
    <w:rsid w:val="00CF12F5"/>
    <w:rsid w:val="00CF6DAD"/>
    <w:rsid w:val="00CF7806"/>
    <w:rsid w:val="00D04A20"/>
    <w:rsid w:val="00D05432"/>
    <w:rsid w:val="00D121BE"/>
    <w:rsid w:val="00D14785"/>
    <w:rsid w:val="00D1651C"/>
    <w:rsid w:val="00D21762"/>
    <w:rsid w:val="00D21E37"/>
    <w:rsid w:val="00D23D42"/>
    <w:rsid w:val="00D241FD"/>
    <w:rsid w:val="00D24DBD"/>
    <w:rsid w:val="00D262E7"/>
    <w:rsid w:val="00D26C6D"/>
    <w:rsid w:val="00D32B26"/>
    <w:rsid w:val="00D365B9"/>
    <w:rsid w:val="00D3689A"/>
    <w:rsid w:val="00D37688"/>
    <w:rsid w:val="00D44E71"/>
    <w:rsid w:val="00D46960"/>
    <w:rsid w:val="00D510B4"/>
    <w:rsid w:val="00D6051B"/>
    <w:rsid w:val="00D61BBA"/>
    <w:rsid w:val="00D62BAC"/>
    <w:rsid w:val="00D6325D"/>
    <w:rsid w:val="00D67733"/>
    <w:rsid w:val="00D70F1C"/>
    <w:rsid w:val="00D724C0"/>
    <w:rsid w:val="00D72757"/>
    <w:rsid w:val="00D732AF"/>
    <w:rsid w:val="00D736B3"/>
    <w:rsid w:val="00D74B9B"/>
    <w:rsid w:val="00D762E0"/>
    <w:rsid w:val="00D76BF9"/>
    <w:rsid w:val="00D8055D"/>
    <w:rsid w:val="00D81394"/>
    <w:rsid w:val="00D82700"/>
    <w:rsid w:val="00D837DD"/>
    <w:rsid w:val="00D92D16"/>
    <w:rsid w:val="00D94360"/>
    <w:rsid w:val="00D95185"/>
    <w:rsid w:val="00D95468"/>
    <w:rsid w:val="00D97F0A"/>
    <w:rsid w:val="00DA30F4"/>
    <w:rsid w:val="00DB1803"/>
    <w:rsid w:val="00DB4E8A"/>
    <w:rsid w:val="00DC00E1"/>
    <w:rsid w:val="00DC04B4"/>
    <w:rsid w:val="00DC25CA"/>
    <w:rsid w:val="00DC2DE3"/>
    <w:rsid w:val="00DC39B2"/>
    <w:rsid w:val="00DD0C0E"/>
    <w:rsid w:val="00DD13C5"/>
    <w:rsid w:val="00DD2417"/>
    <w:rsid w:val="00DD2D1A"/>
    <w:rsid w:val="00DD610E"/>
    <w:rsid w:val="00DE07AB"/>
    <w:rsid w:val="00DE0A26"/>
    <w:rsid w:val="00DE3C69"/>
    <w:rsid w:val="00DF2FA1"/>
    <w:rsid w:val="00DF39BC"/>
    <w:rsid w:val="00E04D94"/>
    <w:rsid w:val="00E0531C"/>
    <w:rsid w:val="00E059D2"/>
    <w:rsid w:val="00E05AE7"/>
    <w:rsid w:val="00E05DD0"/>
    <w:rsid w:val="00E076B3"/>
    <w:rsid w:val="00E12010"/>
    <w:rsid w:val="00E13FE9"/>
    <w:rsid w:val="00E13FEE"/>
    <w:rsid w:val="00E14E61"/>
    <w:rsid w:val="00E178D8"/>
    <w:rsid w:val="00E225D2"/>
    <w:rsid w:val="00E225DE"/>
    <w:rsid w:val="00E23482"/>
    <w:rsid w:val="00E23990"/>
    <w:rsid w:val="00E24660"/>
    <w:rsid w:val="00E31603"/>
    <w:rsid w:val="00E354E3"/>
    <w:rsid w:val="00E3739E"/>
    <w:rsid w:val="00E37BEE"/>
    <w:rsid w:val="00E44BFC"/>
    <w:rsid w:val="00E45D5C"/>
    <w:rsid w:val="00E47A85"/>
    <w:rsid w:val="00E52CE2"/>
    <w:rsid w:val="00E53B93"/>
    <w:rsid w:val="00E556B2"/>
    <w:rsid w:val="00E55776"/>
    <w:rsid w:val="00E6155D"/>
    <w:rsid w:val="00E6392C"/>
    <w:rsid w:val="00E6415A"/>
    <w:rsid w:val="00E6465F"/>
    <w:rsid w:val="00E65323"/>
    <w:rsid w:val="00E6645F"/>
    <w:rsid w:val="00E664DC"/>
    <w:rsid w:val="00E6669F"/>
    <w:rsid w:val="00E715B6"/>
    <w:rsid w:val="00E71C93"/>
    <w:rsid w:val="00E729BB"/>
    <w:rsid w:val="00E74D1A"/>
    <w:rsid w:val="00E81A93"/>
    <w:rsid w:val="00E85783"/>
    <w:rsid w:val="00E93979"/>
    <w:rsid w:val="00E94846"/>
    <w:rsid w:val="00E94847"/>
    <w:rsid w:val="00EA5428"/>
    <w:rsid w:val="00EA729C"/>
    <w:rsid w:val="00EA77F8"/>
    <w:rsid w:val="00EB1323"/>
    <w:rsid w:val="00EB2292"/>
    <w:rsid w:val="00EB5B2B"/>
    <w:rsid w:val="00EB7576"/>
    <w:rsid w:val="00EC342E"/>
    <w:rsid w:val="00EC3EA9"/>
    <w:rsid w:val="00ED26BB"/>
    <w:rsid w:val="00ED57EF"/>
    <w:rsid w:val="00ED581B"/>
    <w:rsid w:val="00EE1725"/>
    <w:rsid w:val="00EF4101"/>
    <w:rsid w:val="00EF56AB"/>
    <w:rsid w:val="00F01F4F"/>
    <w:rsid w:val="00F1588E"/>
    <w:rsid w:val="00F171C8"/>
    <w:rsid w:val="00F212E6"/>
    <w:rsid w:val="00F2228A"/>
    <w:rsid w:val="00F23F45"/>
    <w:rsid w:val="00F24BE6"/>
    <w:rsid w:val="00F45162"/>
    <w:rsid w:val="00F53029"/>
    <w:rsid w:val="00F53887"/>
    <w:rsid w:val="00F550BB"/>
    <w:rsid w:val="00F61464"/>
    <w:rsid w:val="00F61825"/>
    <w:rsid w:val="00F61C98"/>
    <w:rsid w:val="00F62F17"/>
    <w:rsid w:val="00F66334"/>
    <w:rsid w:val="00F73925"/>
    <w:rsid w:val="00F74699"/>
    <w:rsid w:val="00F76F9D"/>
    <w:rsid w:val="00F80F20"/>
    <w:rsid w:val="00F83590"/>
    <w:rsid w:val="00F83E05"/>
    <w:rsid w:val="00F84AD6"/>
    <w:rsid w:val="00F87BE8"/>
    <w:rsid w:val="00F87EE8"/>
    <w:rsid w:val="00F90633"/>
    <w:rsid w:val="00F94A40"/>
    <w:rsid w:val="00F96B6C"/>
    <w:rsid w:val="00FA0E15"/>
    <w:rsid w:val="00FA5A18"/>
    <w:rsid w:val="00FA6639"/>
    <w:rsid w:val="00FA7382"/>
    <w:rsid w:val="00FA761E"/>
    <w:rsid w:val="00FB195B"/>
    <w:rsid w:val="00FB2136"/>
    <w:rsid w:val="00FC4878"/>
    <w:rsid w:val="00FC6669"/>
    <w:rsid w:val="00FD06AE"/>
    <w:rsid w:val="00FD10FD"/>
    <w:rsid w:val="00FD1C5F"/>
    <w:rsid w:val="00FD2004"/>
    <w:rsid w:val="00FD6CE1"/>
    <w:rsid w:val="00FD76B8"/>
    <w:rsid w:val="00FE1753"/>
    <w:rsid w:val="00FE2F7B"/>
    <w:rsid w:val="00FE4E79"/>
    <w:rsid w:val="00FF046F"/>
    <w:rsid w:val="00FF2FF3"/>
    <w:rsid w:val="00FF4375"/>
    <w:rsid w:val="00FF62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F15B01"/>
  <w15:chartTrackingRefBased/>
  <w15:docId w15:val="{1623F0A1-BE18-4E75-9D94-C44107DB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98A"/>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b/>
      <w:szCs w:val="22"/>
      <w:lang w:val="pt-BR" w:eastAsia="pt-BR"/>
    </w:rPr>
  </w:style>
  <w:style w:type="paragraph" w:styleId="Heading2">
    <w:name w:val="heading 2"/>
    <w:basedOn w:val="Normal"/>
    <w:next w:val="Normal"/>
    <w:link w:val="Heading2Char"/>
    <w:autoRedefine/>
    <w:uiPriority w:val="99"/>
    <w:qFormat/>
    <w:rsid w:val="00747218"/>
    <w:pPr>
      <w:keepNext/>
      <w:numPr>
        <w:ilvl w:val="1"/>
        <w:numId w:val="3"/>
      </w:numPr>
      <w:tabs>
        <w:tab w:val="clear" w:pos="360"/>
        <w:tab w:val="num" w:pos="936"/>
      </w:tabs>
      <w:spacing w:before="240" w:after="60"/>
      <w:ind w:left="936" w:hanging="576"/>
      <w:outlineLvl w:val="1"/>
    </w:pPr>
    <w:rPr>
      <w:b/>
      <w:bCs/>
      <w:iCs/>
      <w:szCs w:val="28"/>
      <w:lang w:val="pt-BR" w:eastAsia="pt-BR"/>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481A84"/>
    <w:rPr>
      <w:rFonts w:ascii="Arial" w:hAnsi="Arial"/>
      <w:b/>
      <w:sz w:val="22"/>
      <w:szCs w:val="22"/>
      <w:lang w:val="pt-BR" w:eastAsia="pt-BR"/>
    </w:rPr>
  </w:style>
  <w:style w:type="character" w:customStyle="1" w:styleId="Heading2Char">
    <w:name w:val="Heading 2 Char"/>
    <w:link w:val="Heading2"/>
    <w:uiPriority w:val="99"/>
    <w:locked/>
    <w:rsid w:val="00481A84"/>
    <w:rPr>
      <w:rFonts w:ascii="Arial" w:hAnsi="Arial" w:cs="Arial"/>
      <w:b/>
      <w:bCs/>
      <w:iCs/>
      <w:sz w:val="22"/>
      <w:szCs w:val="28"/>
      <w:lang w:val="pt-BR" w:eastAsia="pt-BR"/>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qFormat/>
    <w:rsid w:val="00F84AD6"/>
    <w:pPr>
      <w:tabs>
        <w:tab w:val="num" w:pos="360"/>
      </w:tabs>
      <w:spacing w:before="120" w:after="120"/>
      <w:ind w:left="36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0E3FEA"/>
    <w:pPr>
      <w:tabs>
        <w:tab w:val="num" w:pos="720"/>
      </w:tabs>
      <w:ind w:left="360" w:hanging="360"/>
    </w:pPr>
    <w:rPr>
      <w:rFonts w:ascii="Times New Roman" w:hAnsi="Times New Roman"/>
      <w:sz w:val="24"/>
      <w:szCs w:val="24"/>
      <w:u w:val="single"/>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BD498A"/>
    <w:rPr>
      <w:rFonts w:ascii="Times New Roman" w:hAnsi="Times New Roman"/>
    </w:rPr>
  </w:style>
  <w:style w:type="character" w:customStyle="1" w:styleId="BalloonTextChar">
    <w:name w:val="Balloon Text Char"/>
    <w:link w:val="BalloonText"/>
    <w:uiPriority w:val="99"/>
    <w:semiHidden/>
    <w:locked/>
    <w:rsid w:val="00BD498A"/>
    <w:rPr>
      <w:sz w:val="22"/>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locked/>
    <w:rsid w:val="00481A84"/>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sid w:val="00481A84"/>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sid w:val="00481A84"/>
    <w:rPr>
      <w:rFonts w:ascii="Arial" w:hAnsi="Arial" w:cs="Times New Roman"/>
      <w:b/>
      <w:bCs/>
      <w:sz w:val="20"/>
      <w:szCs w:val="20"/>
      <w:lang w:val="en-US" w:eastAsia="en-US"/>
    </w:rPr>
  </w:style>
  <w:style w:type="paragraph" w:customStyle="1" w:styleId="ListParagraph1">
    <w:name w:val="List Paragraph1"/>
    <w:basedOn w:val="Normal"/>
    <w:uiPriority w:val="99"/>
    <w:qFormat/>
    <w:rsid w:val="002E74B3"/>
    <w:pPr>
      <w:spacing w:after="200" w:line="276" w:lineRule="auto"/>
      <w:ind w:left="720"/>
      <w:contextualSpacing/>
    </w:pPr>
    <w:rPr>
      <w:rFonts w:ascii="Calibri" w:eastAsia="Calibri" w:hAnsi="Calibri"/>
      <w:szCs w:val="22"/>
      <w:lang w:val="cs-CZ"/>
    </w:rPr>
  </w:style>
  <w:style w:type="paragraph" w:customStyle="1" w:styleId="NoSpacing1">
    <w:name w:val="No Spacing1"/>
    <w:uiPriority w:val="99"/>
    <w:qFormat/>
    <w:rsid w:val="002E74B3"/>
    <w:rPr>
      <w:rFonts w:ascii="Calibri" w:eastAsia="Calibri" w:hAnsi="Calibri"/>
      <w:sz w:val="22"/>
      <w:szCs w:val="22"/>
      <w:lang w:val="cs-CZ" w:eastAsia="en-US"/>
    </w:rPr>
  </w:style>
  <w:style w:type="paragraph" w:customStyle="1" w:styleId="Revision1">
    <w:name w:val="Revision1"/>
    <w:hidden/>
    <w:uiPriority w:val="99"/>
    <w:semiHidden/>
    <w:rsid w:val="00841FBD"/>
    <w:rPr>
      <w:rFonts w:ascii="Arial" w:hAnsi="Arial"/>
      <w:sz w:val="22"/>
      <w:lang w:val="en-US" w:eastAsia="en-US"/>
    </w:rPr>
  </w:style>
  <w:style w:type="paragraph" w:customStyle="1" w:styleId="Default">
    <w:name w:val="Default"/>
    <w:rsid w:val="0096271D"/>
    <w:pPr>
      <w:autoSpaceDE w:val="0"/>
      <w:autoSpaceDN w:val="0"/>
      <w:adjustRightInd w:val="0"/>
    </w:pPr>
    <w:rPr>
      <w:rFonts w:ascii="Arial" w:eastAsia="MS Mincho" w:hAnsi="Arial" w:cs="Arial"/>
      <w:color w:val="000000"/>
      <w:sz w:val="24"/>
      <w:szCs w:val="24"/>
      <w:lang w:val="en-US" w:eastAsia="en-US"/>
    </w:rPr>
  </w:style>
  <w:style w:type="paragraph" w:styleId="NormalWeb">
    <w:name w:val="Normal (Web)"/>
    <w:basedOn w:val="Normal"/>
    <w:rsid w:val="00934EC7"/>
    <w:pPr>
      <w:spacing w:before="100" w:beforeAutospacing="1" w:after="100" w:afterAutospacing="1"/>
    </w:pPr>
    <w:rPr>
      <w:rFonts w:ascii="Times New Roman" w:hAnsi="Times New Roman"/>
      <w:sz w:val="24"/>
      <w:szCs w:val="24"/>
      <w:lang w:val="cs-CZ" w:eastAsia="cs-CZ"/>
    </w:rPr>
  </w:style>
  <w:style w:type="character" w:styleId="Hyperlink">
    <w:name w:val="Hyperlink"/>
    <w:rsid w:val="00934EC7"/>
    <w:rPr>
      <w:color w:val="0000FF"/>
      <w:u w:val="single"/>
    </w:rPr>
  </w:style>
  <w:style w:type="character" w:styleId="Strong">
    <w:name w:val="Strong"/>
    <w:uiPriority w:val="22"/>
    <w:qFormat/>
    <w:locked/>
    <w:rsid w:val="00934EC7"/>
    <w:rPr>
      <w:b/>
      <w:bCs/>
    </w:rPr>
  </w:style>
  <w:style w:type="paragraph" w:styleId="ListParagraph">
    <w:name w:val="List Paragraph"/>
    <w:basedOn w:val="Normal"/>
    <w:uiPriority w:val="34"/>
    <w:qFormat/>
    <w:rsid w:val="009D253E"/>
    <w:pPr>
      <w:ind w:left="720"/>
      <w:contextualSpacing/>
    </w:pPr>
  </w:style>
  <w:style w:type="paragraph" w:styleId="Revision">
    <w:name w:val="Revision"/>
    <w:hidden/>
    <w:uiPriority w:val="99"/>
    <w:semiHidden/>
    <w:rsid w:val="00564AAB"/>
    <w:rPr>
      <w:rFonts w:ascii="Arial" w:hAnsi="Arial"/>
      <w:sz w:val="22"/>
      <w:lang w:val="en-US" w:eastAsia="en-US"/>
    </w:rPr>
  </w:style>
  <w:style w:type="paragraph" w:styleId="Caption">
    <w:name w:val="caption"/>
    <w:basedOn w:val="Normal"/>
    <w:next w:val="Normal"/>
    <w:qFormat/>
    <w:locked/>
    <w:rsid w:val="004F35A0"/>
    <w:pPr>
      <w:tabs>
        <w:tab w:val="left" w:pos="0"/>
        <w:tab w:val="left" w:pos="720"/>
        <w:tab w:val="left" w:pos="1440"/>
        <w:tab w:val="left" w:pos="2160"/>
        <w:tab w:val="left" w:pos="3150"/>
        <w:tab w:val="left" w:pos="4320"/>
      </w:tabs>
      <w:spacing w:before="120" w:after="120"/>
      <w:jc w:val="center"/>
    </w:pPr>
    <w:rPr>
      <w:rFonts w:ascii="Times New Roman" w:hAnsi="Times New Roman"/>
      <w:sz w:val="24"/>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517493">
      <w:bodyDiv w:val="1"/>
      <w:marLeft w:val="0"/>
      <w:marRight w:val="0"/>
      <w:marTop w:val="0"/>
      <w:marBottom w:val="0"/>
      <w:divBdr>
        <w:top w:val="none" w:sz="0" w:space="0" w:color="auto"/>
        <w:left w:val="none" w:sz="0" w:space="0" w:color="auto"/>
        <w:bottom w:val="none" w:sz="0" w:space="0" w:color="auto"/>
        <w:right w:val="none" w:sz="0" w:space="0" w:color="auto"/>
      </w:divBdr>
      <w:divsChild>
        <w:div w:id="588585984">
          <w:marLeft w:val="0"/>
          <w:marRight w:val="0"/>
          <w:marTop w:val="0"/>
          <w:marBottom w:val="0"/>
          <w:divBdr>
            <w:top w:val="none" w:sz="0" w:space="0" w:color="auto"/>
            <w:left w:val="none" w:sz="0" w:space="0" w:color="auto"/>
            <w:bottom w:val="none" w:sz="0" w:space="0" w:color="auto"/>
            <w:right w:val="none" w:sz="0" w:space="0" w:color="auto"/>
          </w:divBdr>
        </w:div>
      </w:divsChild>
    </w:div>
    <w:div w:id="1000235993">
      <w:bodyDiv w:val="1"/>
      <w:marLeft w:val="0"/>
      <w:marRight w:val="0"/>
      <w:marTop w:val="0"/>
      <w:marBottom w:val="0"/>
      <w:divBdr>
        <w:top w:val="none" w:sz="0" w:space="0" w:color="auto"/>
        <w:left w:val="none" w:sz="0" w:space="0" w:color="auto"/>
        <w:bottom w:val="none" w:sz="0" w:space="0" w:color="auto"/>
        <w:right w:val="none" w:sz="0" w:space="0" w:color="auto"/>
      </w:divBdr>
    </w:div>
    <w:div w:id="1301770432">
      <w:bodyDiv w:val="1"/>
      <w:marLeft w:val="0"/>
      <w:marRight w:val="0"/>
      <w:marTop w:val="0"/>
      <w:marBottom w:val="0"/>
      <w:divBdr>
        <w:top w:val="none" w:sz="0" w:space="0" w:color="auto"/>
        <w:left w:val="none" w:sz="0" w:space="0" w:color="auto"/>
        <w:bottom w:val="none" w:sz="0" w:space="0" w:color="auto"/>
        <w:right w:val="none" w:sz="0" w:space="0" w:color="auto"/>
      </w:divBdr>
      <w:divsChild>
        <w:div w:id="1363170799">
          <w:marLeft w:val="0"/>
          <w:marRight w:val="0"/>
          <w:marTop w:val="0"/>
          <w:marBottom w:val="0"/>
          <w:divBdr>
            <w:top w:val="none" w:sz="0" w:space="0" w:color="auto"/>
            <w:left w:val="none" w:sz="0" w:space="0" w:color="auto"/>
            <w:bottom w:val="none" w:sz="0" w:space="0" w:color="auto"/>
            <w:right w:val="none" w:sz="0" w:space="0" w:color="auto"/>
          </w:divBdr>
          <w:divsChild>
            <w:div w:id="1197236139">
              <w:marLeft w:val="0"/>
              <w:marRight w:val="0"/>
              <w:marTop w:val="0"/>
              <w:marBottom w:val="0"/>
              <w:divBdr>
                <w:top w:val="none" w:sz="0" w:space="0" w:color="auto"/>
                <w:left w:val="none" w:sz="0" w:space="0" w:color="auto"/>
                <w:bottom w:val="none" w:sz="0" w:space="0" w:color="auto"/>
                <w:right w:val="none" w:sz="0" w:space="0" w:color="auto"/>
              </w:divBdr>
              <w:divsChild>
                <w:div w:id="1521356166">
                  <w:marLeft w:val="0"/>
                  <w:marRight w:val="0"/>
                  <w:marTop w:val="0"/>
                  <w:marBottom w:val="0"/>
                  <w:divBdr>
                    <w:top w:val="none" w:sz="0" w:space="0" w:color="auto"/>
                    <w:left w:val="none" w:sz="0" w:space="0" w:color="auto"/>
                    <w:bottom w:val="none" w:sz="0" w:space="0" w:color="auto"/>
                    <w:right w:val="none" w:sz="0" w:space="0" w:color="auto"/>
                  </w:divBdr>
                  <w:divsChild>
                    <w:div w:id="1553466641">
                      <w:marLeft w:val="0"/>
                      <w:marRight w:val="0"/>
                      <w:marTop w:val="0"/>
                      <w:marBottom w:val="0"/>
                      <w:divBdr>
                        <w:top w:val="none" w:sz="0" w:space="0" w:color="auto"/>
                        <w:left w:val="none" w:sz="0" w:space="0" w:color="auto"/>
                        <w:bottom w:val="none" w:sz="0" w:space="0" w:color="auto"/>
                        <w:right w:val="none" w:sz="0" w:space="0" w:color="auto"/>
                      </w:divBdr>
                      <w:divsChild>
                        <w:div w:id="1453790425">
                          <w:marLeft w:val="0"/>
                          <w:marRight w:val="0"/>
                          <w:marTop w:val="0"/>
                          <w:marBottom w:val="0"/>
                          <w:divBdr>
                            <w:top w:val="none" w:sz="0" w:space="0" w:color="auto"/>
                            <w:left w:val="none" w:sz="0" w:space="0" w:color="auto"/>
                            <w:bottom w:val="none" w:sz="0" w:space="0" w:color="auto"/>
                            <w:right w:val="none" w:sz="0" w:space="0" w:color="auto"/>
                          </w:divBdr>
                          <w:divsChild>
                            <w:div w:id="1310136704">
                              <w:marLeft w:val="0"/>
                              <w:marRight w:val="0"/>
                              <w:marTop w:val="0"/>
                              <w:marBottom w:val="0"/>
                              <w:divBdr>
                                <w:top w:val="none" w:sz="0" w:space="0" w:color="auto"/>
                                <w:left w:val="none" w:sz="0" w:space="0" w:color="auto"/>
                                <w:bottom w:val="none" w:sz="0" w:space="0" w:color="auto"/>
                                <w:right w:val="none" w:sz="0" w:space="0" w:color="auto"/>
                              </w:divBdr>
                              <w:divsChild>
                                <w:div w:id="969632984">
                                  <w:marLeft w:val="0"/>
                                  <w:marRight w:val="0"/>
                                  <w:marTop w:val="0"/>
                                  <w:marBottom w:val="0"/>
                                  <w:divBdr>
                                    <w:top w:val="none" w:sz="0" w:space="0" w:color="auto"/>
                                    <w:left w:val="none" w:sz="0" w:space="0" w:color="auto"/>
                                    <w:bottom w:val="none" w:sz="0" w:space="0" w:color="auto"/>
                                    <w:right w:val="none" w:sz="0" w:space="0" w:color="auto"/>
                                  </w:divBdr>
                                  <w:divsChild>
                                    <w:div w:id="243298944">
                                      <w:marLeft w:val="0"/>
                                      <w:marRight w:val="0"/>
                                      <w:marTop w:val="0"/>
                                      <w:marBottom w:val="0"/>
                                      <w:divBdr>
                                        <w:top w:val="none" w:sz="0" w:space="0" w:color="auto"/>
                                        <w:left w:val="none" w:sz="0" w:space="0" w:color="auto"/>
                                        <w:bottom w:val="none" w:sz="0" w:space="0" w:color="auto"/>
                                        <w:right w:val="none" w:sz="0" w:space="0" w:color="auto"/>
                                      </w:divBdr>
                                      <w:divsChild>
                                        <w:div w:id="690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ttp://www.sujb.cz/fileadmin/sujb/docs/legislativa/V1322008.doc" TargetMode="External" Type="http://schemas.openxmlformats.org/officeDocument/2006/relationships/hyperlink"/><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A570-E940-45B3-A007-CCB4EAE8AA3E}"/>
</file>

<file path=customXml/itemProps2.xml><?xml version="1.0" encoding="utf-8"?>
<ds:datastoreItem xmlns:ds="http://schemas.openxmlformats.org/officeDocument/2006/customXml" ds:itemID="{4ED50E18-B642-4BE9-840F-83F29002E098}">
  <ds:schemaRefs>
    <ds:schemaRef ds:uri="http://schemas.microsoft.com/sharepoint/v3/contenttype/forms"/>
  </ds:schemaRefs>
</ds:datastoreItem>
</file>

<file path=customXml/itemProps3.xml><?xml version="1.0" encoding="utf-8"?>
<ds:datastoreItem xmlns:ds="http://schemas.openxmlformats.org/officeDocument/2006/customXml" ds:itemID="{1096F731-BD6B-480E-A6B5-3E62D99C16C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ABEC4D5-8BC8-4A37-BF86-08B05026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64C0C0B-B74F-4289-ADF4-C2E9D4D2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1510</Words>
  <Characters>8977</Characters>
  <DocSecurity>0</DocSecurity>
  <Lines>74</Lines>
  <Paragraphs>20</Paragraphs>
  <ScaleCrop>false</ScaleCrop>
  <HeadingPairs>
    <vt:vector size="10" baseType="variant">
      <vt:variant>
        <vt:lpstr>Titel</vt:lpstr>
      </vt:variant>
      <vt:variant>
        <vt:i4>1</vt:i4>
      </vt:variant>
      <vt:variant>
        <vt:lpstr>Title</vt:lpstr>
      </vt:variant>
      <vt:variant>
        <vt:i4>1</vt:i4>
      </vt:variant>
      <vt:variant>
        <vt:lpstr>Cím</vt:lpstr>
      </vt:variant>
      <vt:variant>
        <vt:i4>1</vt:i4>
      </vt:variant>
      <vt:variant>
        <vt:lpstr>Název</vt:lpstr>
      </vt:variant>
      <vt:variant>
        <vt:i4>1</vt:i4>
      </vt:variant>
      <vt:variant>
        <vt:lpstr>Názov</vt:lpstr>
      </vt:variant>
      <vt:variant>
        <vt:i4>1</vt:i4>
      </vt:variant>
    </vt:vector>
  </HeadingPairs>
  <TitlesOfParts>
    <vt:vector size="5" baseType="lpstr">
      <vt:lpstr>CHAPTER X</vt:lpstr>
      <vt:lpstr>CHAPTER X</vt:lpstr>
      <vt:lpstr>CHAPTER X</vt:lpstr>
      <vt:lpstr>CHAPTER X</vt:lpstr>
      <vt:lpstr>CHAPTER X</vt:lpstr>
    </vt:vector>
  </TitlesOfParts>
  <LinksUpToDate>false</LinksUpToDate>
  <CharactersWithSpaces>10467</CharactersWithSpaces>
  <SharedDoc>false</SharedDoc>
  <HLinks>
    <vt:vector size="6" baseType="variant">
      <vt:variant>
        <vt:i4>3342392</vt:i4>
      </vt:variant>
      <vt:variant>
        <vt:i4>0</vt:i4>
      </vt:variant>
      <vt:variant>
        <vt:i4>0</vt:i4>
      </vt:variant>
      <vt:variant>
        <vt:i4>5</vt:i4>
      </vt:variant>
      <vt:variant>
        <vt:lpwstr>http://www.sujb.cz/fileadmin/sujb/docs/legislativa/V1322008.doc</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AdHocReviewCycleID">
    <vt:i4>1772955430</vt:i4>
  </property>
  <property fmtid="{D5CDD505-2E9C-101B-9397-08002B2CF9AE}" pid="4" name="_NewReviewCycle">
    <vt:lpwstr/>
  </property>
  <property fmtid="{D5CDD505-2E9C-101B-9397-08002B2CF9AE}" pid="5" name="_EmailSubject">
    <vt:lpwstr>AMP156: Comments resolved?</vt:lpwstr>
  </property>
  <property fmtid="{D5CDD505-2E9C-101B-9397-08002B2CF9AE}" pid="6" name="_AuthorEmail">
    <vt:lpwstr>Jens.Heldt@kkl.ch</vt:lpwstr>
  </property>
  <property fmtid="{D5CDD505-2E9C-101B-9397-08002B2CF9AE}" pid="7" name="_AuthorEmailDisplayName">
    <vt:lpwstr>Heldt Jens (hej) KKL/MPS</vt:lpwstr>
  </property>
  <property fmtid="{D5CDD505-2E9C-101B-9397-08002B2CF9AE}" pid="8" name="_ReviewingToolsShownOnce">
    <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