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4E7A" w14:textId="77777777" w:rsidR="00D07102" w:rsidRPr="00D07102" w:rsidRDefault="00D07102" w:rsidP="00D07102">
      <w:pPr>
        <w:pStyle w:val="Heading2"/>
        <w:spacing w:before="120" w:after="120"/>
        <w:rPr>
          <w:rFonts w:ascii="Times New Roman" w:hAnsi="Times New Roman"/>
          <w:i w:val="0"/>
          <w:sz w:val="24"/>
          <w:szCs w:val="24"/>
        </w:rPr>
      </w:pPr>
      <w:r w:rsidRPr="00D07102">
        <w:rPr>
          <w:rFonts w:ascii="Times New Roman" w:hAnsi="Times New Roman"/>
          <w:i w:val="0"/>
          <w:sz w:val="24"/>
          <w:szCs w:val="24"/>
        </w:rPr>
        <w:t xml:space="preserve">AMP135 </w:t>
      </w:r>
      <w:r w:rsidRPr="00D07102">
        <w:rPr>
          <w:rFonts w:ascii="Times New Roman" w:hAnsi="Times New Roman"/>
          <w:i w:val="0"/>
          <w:sz w:val="24"/>
          <w:szCs w:val="24"/>
        </w:rPr>
        <w:tab/>
        <w:t xml:space="preserve">INSPECTION OF INTERNAL SURFACES IN MISCELLANEOUS PIPING AND DUCTING COMPONENTS (VERSION 2023)  </w:t>
      </w:r>
    </w:p>
    <w:p w14:paraId="2C9A7490" w14:textId="77777777" w:rsidR="00D07102" w:rsidRPr="00D07102" w:rsidRDefault="00D07102" w:rsidP="00D07102">
      <w:pPr>
        <w:pStyle w:val="Body"/>
        <w:rPr>
          <w:rFonts w:ascii="Times New Roman" w:hAnsi="Times New Roman"/>
          <w:b/>
          <w:sz w:val="24"/>
          <w:szCs w:val="24"/>
        </w:rPr>
      </w:pPr>
      <w:r w:rsidRPr="00D07102">
        <w:rPr>
          <w:rFonts w:ascii="Times New Roman" w:hAnsi="Times New Roman"/>
          <w:b/>
          <w:sz w:val="24"/>
          <w:szCs w:val="24"/>
        </w:rPr>
        <w:t>Programme Description</w:t>
      </w:r>
    </w:p>
    <w:p w14:paraId="3C7694C6" w14:textId="4E2256A4" w:rsidR="00D07102" w:rsidRPr="00D07102" w:rsidRDefault="00D07102" w:rsidP="00D07102">
      <w:pPr>
        <w:pStyle w:val="Body"/>
        <w:jc w:val="both"/>
        <w:rPr>
          <w:rFonts w:ascii="Times New Roman" w:eastAsia="Times New Roman" w:hAnsi="Times New Roman"/>
          <w:color w:val="FF0000"/>
          <w:sz w:val="24"/>
          <w:szCs w:val="24"/>
        </w:rPr>
      </w:pPr>
      <w:r w:rsidRPr="00D07102">
        <w:rPr>
          <w:rFonts w:ascii="Times New Roman" w:eastAsia="Times New Roman" w:hAnsi="Times New Roman"/>
          <w:color w:val="FF0000"/>
          <w:sz w:val="24"/>
          <w:szCs w:val="24"/>
        </w:rPr>
        <w:t xml:space="preserve">The programme consists of inspections of the internal surfaces of metallic piping, piping components, ducting, heat exchangers, elastomeric and polymeric components, and other components that are exposed to air-indoor uncontrolled, air outdoor, air with borated water leakage, condensation, moist air, diesel exhaust, fuel oil, lubricating oil and any water system other than AMP124, AMP117 and AMP131. These internal inspections are performed during the periodic system and component surveillances or during the performance of maintenance activities when the surfaces are made accessible for visual inspection. The programme includes visual inspections, and when appropriate surface examinations, to ensure that existing environmental conditions are not causing material degradation that could result in a loss of component intended functions. For certain materials, such as polymers, physical manipulation or pressurization (e.g. hydrotesting) to detect hardening or loss of strength are used to augment the visual examinations conducted under this programme. This programme may also be used to manage cracking due to stress corrosion cracking (SCC) in aluminium and stainless steel (SS) components exposed to aqueous solutions and air </w:t>
      </w:r>
      <w:proofErr w:type="spellStart"/>
      <w:r w:rsidRPr="00D07102">
        <w:rPr>
          <w:rFonts w:ascii="Times New Roman" w:eastAsia="Times New Roman" w:hAnsi="Times New Roman"/>
          <w:color w:val="FF0000"/>
          <w:sz w:val="24"/>
          <w:szCs w:val="24"/>
        </w:rPr>
        <w:t>enviroments</w:t>
      </w:r>
      <w:proofErr w:type="spellEnd"/>
      <w:r w:rsidRPr="00D07102">
        <w:rPr>
          <w:rFonts w:ascii="Times New Roman" w:eastAsia="Times New Roman" w:hAnsi="Times New Roman"/>
          <w:color w:val="FF0000"/>
          <w:sz w:val="24"/>
          <w:szCs w:val="24"/>
        </w:rPr>
        <w:t xml:space="preserve"> containing halides. If visual inspection of internal surfaces is not possible, then the applicant needs to provide a plant-specific programme.</w:t>
      </w:r>
    </w:p>
    <w:p w14:paraId="2C364F51" w14:textId="77777777" w:rsidR="00D07102" w:rsidRPr="00D07102" w:rsidRDefault="00D07102" w:rsidP="00D07102">
      <w:pPr>
        <w:pStyle w:val="Body"/>
        <w:jc w:val="both"/>
        <w:rPr>
          <w:rFonts w:ascii="Times New Roman" w:eastAsia="Times New Roman" w:hAnsi="Times New Roman"/>
          <w:color w:val="FF0000"/>
          <w:sz w:val="24"/>
          <w:szCs w:val="24"/>
        </w:rPr>
      </w:pPr>
      <w:r w:rsidRPr="00D07102">
        <w:rPr>
          <w:rFonts w:ascii="Times New Roman" w:eastAsia="Times New Roman" w:hAnsi="Times New Roman"/>
          <w:color w:val="FF0000"/>
          <w:sz w:val="24"/>
          <w:szCs w:val="24"/>
        </w:rPr>
        <w:t>This programme is not intended for use on components in which recurring internal corrosion is evident based on search of plant-specific operating experience (OE). Recurring failures are defined as failures with the same ageing mechanism in which the ageing effect resulted in loss of intended function (e.g. one per refueling outage cycle that has occurred over three or more sequential or nonsequential cycles for a 10-year OE search, or two or more sequential or nonsequential cycles for a 5-year OE search). If operating experience indicates that there has been recurring internal corrosion, a plant-specific programme will be necessary unless this programme, or another new or existing programme, includes augmented requirements that address recurring ageing effects. According to section 3.2.2.2.7 of NUREG-2192 [1], potential augmented requirements could include alternative examination methods (e.g. volumetric inspections versus visual), augmented inspections (e.g. a greater number of locations, additional locations based on risk insights based on susceptibility to ageing effect and consequences of failure, a greater frequency of inspections), and additional trending parameters and decision points where increased inspections would be implemented. Following a failure due to recurring internal corrosion, this programme may also be used if the material susceptible to recurring internal corrosion is replaced by one that is more corrosion-resistant in the environment of interest, or if corrective actions have been taken to prevent recurrence of the recurring internal corrosion.</w:t>
      </w:r>
    </w:p>
    <w:p w14:paraId="3A8D92AB" w14:textId="77777777" w:rsidR="00D07102" w:rsidRPr="00D07102" w:rsidRDefault="00D07102" w:rsidP="00D07102">
      <w:pPr>
        <w:pStyle w:val="Body"/>
        <w:jc w:val="both"/>
        <w:rPr>
          <w:rFonts w:ascii="Times New Roman" w:eastAsia="Times New Roman" w:hAnsi="Times New Roman"/>
          <w:sz w:val="24"/>
          <w:szCs w:val="24"/>
        </w:rPr>
      </w:pPr>
    </w:p>
    <w:p w14:paraId="64408575" w14:textId="77777777" w:rsidR="00D07102" w:rsidRPr="00D07102" w:rsidRDefault="00D07102" w:rsidP="00D07102">
      <w:pPr>
        <w:pStyle w:val="Body"/>
        <w:jc w:val="both"/>
        <w:rPr>
          <w:rFonts w:ascii="Times New Roman" w:eastAsia="Times New Roman" w:hAnsi="Times New Roman"/>
          <w:b/>
          <w:bCs/>
          <w:sz w:val="24"/>
          <w:szCs w:val="24"/>
        </w:rPr>
      </w:pPr>
      <w:r w:rsidRPr="00D07102">
        <w:rPr>
          <w:rFonts w:ascii="Times New Roman" w:eastAsia="Times New Roman" w:hAnsi="Times New Roman"/>
          <w:b/>
          <w:bCs/>
          <w:sz w:val="24"/>
          <w:szCs w:val="24"/>
        </w:rPr>
        <w:t>Evaluation and Technical Basis</w:t>
      </w:r>
    </w:p>
    <w:p w14:paraId="1A4CC375"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1.</w:t>
      </w:r>
      <w:r w:rsidRPr="00D07102">
        <w:rPr>
          <w:rFonts w:ascii="Times New Roman" w:eastAsia="Times New Roman" w:hAnsi="Times New Roman"/>
          <w:b/>
          <w:bCs/>
          <w:i/>
          <w:iCs/>
          <w:sz w:val="24"/>
          <w:szCs w:val="24"/>
        </w:rPr>
        <w:tab/>
        <w:t xml:space="preserve">Scope of the ageing management programme based on understanding ageing: </w:t>
      </w:r>
    </w:p>
    <w:p w14:paraId="0DF30CD7"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xml:space="preserve">For metallic components, the programme calls for the visual inspection of the internal surface of in-scope components that are not included in other ageing management programmes for loss of material. For metallic components with polymeric liners or for polymeric and elastomeric components, the programme includes visual inspections of the internal polymer surfaces when coupled with additional augmented techniques, such as manipulation or pressurization. This programme also includes metallic piping with or without polymeric linings, piping elements, ducting, heat exchanger components and components in an internal environment. The </w:t>
      </w:r>
      <w:r w:rsidRPr="00D07102">
        <w:rPr>
          <w:rFonts w:ascii="Times New Roman" w:eastAsia="Times New Roman" w:hAnsi="Times New Roman"/>
          <w:sz w:val="24"/>
          <w:szCs w:val="24"/>
        </w:rPr>
        <w:lastRenderedPageBreak/>
        <w:t>programme also calls for visual inspection and monitors the internal surfaces of polymeric and elastomeric components in mechanical systems for hardening and loss of strength, cracking, and for loss of material due to wear. The programme manages the effects of ageing of polymer materials in all environments to which these materials are exposed. Inspections are performed when the internal surfaces are accessible during the performance of periodic surveillances or during maintenance activities or scheduled outages. This programme is not intended for components where loss of intended function has occurred due to age-related degradation.</w:t>
      </w:r>
    </w:p>
    <w:p w14:paraId="40404376"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For situations in which the material and environment combinations are similar for the internal and external surfaces such that the external surface condition is representative of the internal surface condition, external inspections of components may be credited for managing: (a) loss of material from internal surfaces of metallic and cementitious components and (b) loss of material, cracking, and change in material properties from the internal surfaces of polymeric components. When credited, the programme describes the component’s internal environment and the credited external component’s environment inspected and provides the basis to justify that the external and internal surface condition and environment are sufficiently similar.</w:t>
      </w:r>
    </w:p>
    <w:p w14:paraId="7C68D7E9" w14:textId="77777777" w:rsidR="00D07102" w:rsidRPr="00D07102" w:rsidRDefault="00D07102" w:rsidP="00D07102">
      <w:pPr>
        <w:pStyle w:val="Body"/>
        <w:jc w:val="both"/>
        <w:rPr>
          <w:rFonts w:ascii="Times New Roman" w:eastAsia="Times New Roman" w:hAnsi="Times New Roman"/>
          <w:sz w:val="24"/>
          <w:szCs w:val="24"/>
        </w:rPr>
      </w:pPr>
    </w:p>
    <w:p w14:paraId="5D3001E0"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2.</w:t>
      </w:r>
      <w:r w:rsidRPr="00D07102">
        <w:rPr>
          <w:rFonts w:ascii="Times New Roman" w:eastAsia="Times New Roman" w:hAnsi="Times New Roman"/>
          <w:b/>
          <w:bCs/>
          <w:i/>
          <w:iCs/>
          <w:sz w:val="24"/>
          <w:szCs w:val="24"/>
        </w:rPr>
        <w:tab/>
        <w:t xml:space="preserve">Preventive actions to minimize and control ageing degradation: </w:t>
      </w:r>
    </w:p>
    <w:p w14:paraId="15C4CE83"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This programme is a condition monitoring programme and does not contain any preventive actions.</w:t>
      </w:r>
    </w:p>
    <w:p w14:paraId="3A332CCA" w14:textId="77777777" w:rsidR="00D07102" w:rsidRPr="00D07102" w:rsidRDefault="00D07102" w:rsidP="00D07102">
      <w:pPr>
        <w:pStyle w:val="Body"/>
        <w:jc w:val="both"/>
        <w:rPr>
          <w:rFonts w:ascii="Times New Roman" w:eastAsia="Times New Roman" w:hAnsi="Times New Roman"/>
          <w:sz w:val="24"/>
          <w:szCs w:val="24"/>
        </w:rPr>
      </w:pPr>
    </w:p>
    <w:p w14:paraId="584A19DF"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3.</w:t>
      </w:r>
      <w:r w:rsidRPr="00D07102">
        <w:rPr>
          <w:rFonts w:ascii="Times New Roman" w:eastAsia="Times New Roman" w:hAnsi="Times New Roman"/>
          <w:b/>
          <w:bCs/>
          <w:i/>
          <w:iCs/>
          <w:sz w:val="24"/>
          <w:szCs w:val="24"/>
        </w:rPr>
        <w:tab/>
        <w:t xml:space="preserve">Detection of ageing effects: </w:t>
      </w:r>
    </w:p>
    <w:p w14:paraId="2DCF6DB5" w14:textId="77777777" w:rsidR="00D07102" w:rsidRPr="00D07102" w:rsidRDefault="00D07102" w:rsidP="00D07102">
      <w:pPr>
        <w:pStyle w:val="Body"/>
        <w:jc w:val="both"/>
        <w:rPr>
          <w:rFonts w:ascii="Times New Roman" w:eastAsia="Times New Roman" w:hAnsi="Times New Roman"/>
          <w:color w:val="FF0000"/>
          <w:sz w:val="24"/>
          <w:szCs w:val="24"/>
        </w:rPr>
      </w:pPr>
      <w:r w:rsidRPr="00D07102">
        <w:rPr>
          <w:rFonts w:ascii="Times New Roman" w:eastAsia="Times New Roman" w:hAnsi="Times New Roman"/>
          <w:color w:val="FF0000"/>
          <w:sz w:val="24"/>
          <w:szCs w:val="24"/>
        </w:rPr>
        <w:t xml:space="preserve">Visual and mechanical (e.g. involving manipulation or pressurization of elastomers) inspections conducted under this programme are opportunistic in nature; they are conducted whenever </w:t>
      </w:r>
      <w:proofErr w:type="spellStart"/>
      <w:r w:rsidRPr="00D07102">
        <w:rPr>
          <w:rFonts w:ascii="Times New Roman" w:eastAsia="Times New Roman" w:hAnsi="Times New Roman"/>
          <w:color w:val="FF0000"/>
          <w:sz w:val="24"/>
          <w:szCs w:val="24"/>
        </w:rPr>
        <w:t>componentes</w:t>
      </w:r>
      <w:proofErr w:type="spellEnd"/>
      <w:r w:rsidRPr="00D07102">
        <w:rPr>
          <w:rFonts w:ascii="Times New Roman" w:eastAsia="Times New Roman" w:hAnsi="Times New Roman"/>
          <w:color w:val="FF0000"/>
          <w:sz w:val="24"/>
          <w:szCs w:val="24"/>
        </w:rPr>
        <w:t xml:space="preserve"> such as  piping, heat </w:t>
      </w:r>
      <w:proofErr w:type="spellStart"/>
      <w:r w:rsidRPr="00D07102">
        <w:rPr>
          <w:rFonts w:ascii="Times New Roman" w:eastAsia="Times New Roman" w:hAnsi="Times New Roman"/>
          <w:color w:val="FF0000"/>
          <w:sz w:val="24"/>
          <w:szCs w:val="24"/>
        </w:rPr>
        <w:t>exchangers,ducting</w:t>
      </w:r>
      <w:proofErr w:type="spellEnd"/>
      <w:r w:rsidRPr="00D07102">
        <w:rPr>
          <w:rFonts w:ascii="Times New Roman" w:eastAsia="Times New Roman" w:hAnsi="Times New Roman"/>
          <w:color w:val="FF0000"/>
          <w:sz w:val="24"/>
          <w:szCs w:val="24"/>
        </w:rPr>
        <w:t xml:space="preserve"> fans or ventilation and cooling units are opened for any reason. It is possible that opportunistic inspections might not be available to manage one or more possible combinations of material-environment-ageing effect for the components included in the scope of the programme. Therefore a minimum number of inspections is needed at least every 10 years. For example, License Renewal Interim Staff Guidance LR-ISG-2012-02 [2] and Generic Aging Lessons Learned for Subsequent License Renewal (GALL-SLR) Report [3] provide an </w:t>
      </w:r>
      <w:proofErr w:type="spellStart"/>
      <w:r w:rsidRPr="00D07102">
        <w:rPr>
          <w:rFonts w:ascii="Times New Roman" w:eastAsia="Times New Roman" w:hAnsi="Times New Roman"/>
          <w:color w:val="FF0000"/>
          <w:sz w:val="24"/>
          <w:szCs w:val="24"/>
        </w:rPr>
        <w:t>approache</w:t>
      </w:r>
      <w:proofErr w:type="spellEnd"/>
      <w:r w:rsidRPr="00D07102">
        <w:rPr>
          <w:rFonts w:ascii="Times New Roman" w:eastAsia="Times New Roman" w:hAnsi="Times New Roman"/>
          <w:color w:val="FF0000"/>
          <w:sz w:val="24"/>
          <w:szCs w:val="24"/>
        </w:rPr>
        <w:t xml:space="preserve"> to define a representative sample. Otherwise, a technical justification of the methodology and sample size used for selecting components for inspection should be included as part of the programme`s documentation.</w:t>
      </w:r>
    </w:p>
    <w:p w14:paraId="09B08F99"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Internal visual inspections used to assess loss of material are capable of detecting surface irregularities that could be indicative of an unexpected level of degradation due to corrosion and corrosion production deposition. Where such irregularities are detected for steel components exposed to raw water, raw water (potable), or waste water, follow-up volumetric examinations could be performed.</w:t>
      </w:r>
    </w:p>
    <w:p w14:paraId="5581A810"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On the other hand, different options are given in GALL-SLR Report [3] to implement periodic visual inspections or surface examinations when managing cracks in SS and aluminium components.</w:t>
      </w:r>
    </w:p>
    <w:p w14:paraId="6A195297"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xml:space="preserve">To determine the condition of internal surfaces of buried and underground piping, inspections of the interior surfaces of accessible piping may be credited if the accessible and buried or underground component material, environment, and ageing effects are similar. </w:t>
      </w:r>
    </w:p>
    <w:p w14:paraId="68825075"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xml:space="preserve">When inspections of the interior surfaces of accessible components with similar material, environment, and ageing effects as the interior surfaces of buried or underground piping are </w:t>
      </w:r>
      <w:r w:rsidRPr="00D07102">
        <w:rPr>
          <w:rFonts w:ascii="Times New Roman" w:eastAsia="Times New Roman" w:hAnsi="Times New Roman"/>
          <w:sz w:val="24"/>
          <w:szCs w:val="24"/>
        </w:rPr>
        <w:lastRenderedPageBreak/>
        <w:t>not conducted, the sample population will be inspected using volumetric or internal visual inspections capable of detecting loss of material on the internal surfaces of the buried or underground piping.</w:t>
      </w:r>
    </w:p>
    <w:p w14:paraId="6A557E08"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xml:space="preserve">Visual inspections includes all accessible surfaces. Unless otherwise required (e.g. by the ASME code) all inspections are carried out using plant-specific procedures by inspectors qualified through plant-specific programmes. The inspection procedures utilized are capable of detecting the ageing effect(s) under consideration. These inspections provide for the detection of ageing effects prior to the loss of component function. Visual inspection of flexible polymeric components is performed whenever the component surface is accessible. Visual inspection can provide indirect indicators of the presence of surface cracking, crazing, and discoloration. For elastomers with internal reinforcement, visual inspection can detect the exposure of reinforcing fibers, mesh, or underlying metal. Visual and tactile inspections are performed when the internal surfaces become accessible during the performance of periodic surveillances or during maintenance activities or scheduled outages. Visual inspection provides direct indicators of loss of material due to wear, including dimensional change, scuffing, and the exposure of reinforcing fibers, mesh, or underlying metal for flexible polymeric materials with internal reinforcement. </w:t>
      </w:r>
    </w:p>
    <w:p w14:paraId="6CD0D777"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Manual or physical manipulation of flexible polymeric components is used to augment visual inspection, where appropriate, to assess loss of material or strength. The sample size for manipulation is at least 10 percent of available surface area, including visually identified suspect areas. For flexible polymeric materials, hardening, loss of strength, or loss of material due to wear is expected to be detectable prior to any loss of intended function.</w:t>
      </w:r>
    </w:p>
    <w:p w14:paraId="22E6D2EA" w14:textId="77777777" w:rsidR="00D07102" w:rsidRPr="00D07102" w:rsidRDefault="00D07102" w:rsidP="00D07102">
      <w:pPr>
        <w:pStyle w:val="Body"/>
        <w:jc w:val="both"/>
        <w:rPr>
          <w:rFonts w:ascii="Times New Roman" w:eastAsia="Times New Roman" w:hAnsi="Times New Roman"/>
          <w:sz w:val="24"/>
          <w:szCs w:val="24"/>
        </w:rPr>
      </w:pPr>
    </w:p>
    <w:p w14:paraId="0C361707" w14:textId="6DA34D20"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4.</w:t>
      </w:r>
      <w:r w:rsidRPr="00D07102">
        <w:rPr>
          <w:rFonts w:ascii="Times New Roman" w:eastAsia="Times New Roman" w:hAnsi="Times New Roman"/>
          <w:b/>
          <w:bCs/>
          <w:i/>
          <w:iCs/>
          <w:sz w:val="24"/>
          <w:szCs w:val="24"/>
        </w:rPr>
        <w:tab/>
        <w:t xml:space="preserve">Monitoring and </w:t>
      </w:r>
      <w:r w:rsidR="008965CD">
        <w:rPr>
          <w:rFonts w:ascii="Times New Roman" w:eastAsia="Times New Roman" w:hAnsi="Times New Roman"/>
          <w:b/>
          <w:bCs/>
          <w:i/>
          <w:iCs/>
          <w:sz w:val="24"/>
          <w:szCs w:val="24"/>
        </w:rPr>
        <w:t xml:space="preserve">analysis of trends for </w:t>
      </w:r>
      <w:r w:rsidRPr="00D07102">
        <w:rPr>
          <w:rFonts w:ascii="Times New Roman" w:eastAsia="Times New Roman" w:hAnsi="Times New Roman"/>
          <w:b/>
          <w:bCs/>
          <w:i/>
          <w:iCs/>
          <w:sz w:val="24"/>
          <w:szCs w:val="24"/>
        </w:rPr>
        <w:t xml:space="preserve">ageing effects: </w:t>
      </w:r>
    </w:p>
    <w:p w14:paraId="121E2DFB"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This programme manages loss of material, cracking, reduction of heat transfer due to fouling, hardening or loss of strength of elastomeric components, and flow blockage. Parameters monitored or inspected include visible evidence of loss of material in metallic components. This programme manages loss of material and possible changes in material properties. This programme monitors for evidence of surface discontinuities. For changes in material properties, the visual examinations are supplemented, so changes in the properties are readily observable.</w:t>
      </w:r>
    </w:p>
    <w:p w14:paraId="2AD69FC5"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Periodic surface examinations could be conducted if this programme is being used to manage cracking in SS or aluminium components. Visual inspections for leakage or surface cracks are an acceptable alternative to conducting surface examinations to detect cracking if it has been determined that cracks will be detected prior to challenging the structural integrity or intended function of the component.</w:t>
      </w:r>
    </w:p>
    <w:p w14:paraId="06BC1B24"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Examples of inspection parameters for metallic components include the following:</w:t>
      </w:r>
    </w:p>
    <w:p w14:paraId="7969EDFF"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Corrosion and material parameters wastage (loss of material);</w:t>
      </w:r>
    </w:p>
    <w:p w14:paraId="6FDC3922"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Leakage from or onto internal surfaces (loss of material);</w:t>
      </w:r>
    </w:p>
    <w:p w14:paraId="6E88C3F6"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Worn, flaking, or oxide-coated surfaces (loss of material);</w:t>
      </w:r>
    </w:p>
    <w:p w14:paraId="0FD2A2E4"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Cracking due to stress corrosion cracking;</w:t>
      </w:r>
    </w:p>
    <w:p w14:paraId="1EBFB54F"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Debris accumulation on heat exchanger tube surfaces;</w:t>
      </w:r>
    </w:p>
    <w:p w14:paraId="3B9B5F2E"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 xml:space="preserve">Accumulation of particle fouling, biofouling, or macro fouling. </w:t>
      </w:r>
    </w:p>
    <w:p w14:paraId="529F4C7D" w14:textId="77777777" w:rsidR="00D07102" w:rsidRPr="00D07102" w:rsidRDefault="00D07102" w:rsidP="00D07102">
      <w:pPr>
        <w:pStyle w:val="Body"/>
        <w:jc w:val="both"/>
        <w:rPr>
          <w:rFonts w:ascii="Times New Roman" w:eastAsia="Times New Roman" w:hAnsi="Times New Roman"/>
          <w:sz w:val="24"/>
          <w:szCs w:val="24"/>
        </w:rPr>
      </w:pPr>
    </w:p>
    <w:p w14:paraId="44463D03"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Examples of inspection parameters for polymers are as follows:</w:t>
      </w:r>
    </w:p>
    <w:p w14:paraId="559F819E"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lastRenderedPageBreak/>
        <w:t>-</w:t>
      </w:r>
      <w:r w:rsidRPr="00D07102">
        <w:rPr>
          <w:rFonts w:ascii="Times New Roman" w:eastAsia="Times New Roman" w:hAnsi="Times New Roman"/>
          <w:sz w:val="24"/>
          <w:szCs w:val="24"/>
        </w:rPr>
        <w:tab/>
        <w:t>Surface cracking, crazing, scuffing, loss of sealing and dimensional change (e.g. 'ballooning” and “necking”);</w:t>
      </w:r>
    </w:p>
    <w:p w14:paraId="633C68F5"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Loss of wall thickness;</w:t>
      </w:r>
    </w:p>
    <w:p w14:paraId="1F9361B0"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Discoloration;</w:t>
      </w:r>
    </w:p>
    <w:p w14:paraId="741758E1"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Exposure of internal reinforcement for reinforced elastomers;</w:t>
      </w:r>
    </w:p>
    <w:p w14:paraId="3EB99591"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Hardening as evidenced by a loss of suppleness during manipulation where the component and material are appropriate to manipulation.</w:t>
      </w:r>
    </w:p>
    <w:p w14:paraId="70ABAFD1"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Examples of inspection parameters for cementitious materials include:</w:t>
      </w:r>
    </w:p>
    <w:p w14:paraId="0584E475"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Spalling;</w:t>
      </w:r>
    </w:p>
    <w:p w14:paraId="563D15F9"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Scaling;</w:t>
      </w:r>
    </w:p>
    <w:p w14:paraId="0080D783" w14:textId="77777777" w:rsidR="00D07102" w:rsidRPr="00D07102" w:rsidRDefault="00D07102" w:rsidP="00D07102">
      <w:pPr>
        <w:pStyle w:val="Body"/>
        <w:ind w:left="714" w:hanging="35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w:t>
      </w:r>
      <w:r w:rsidRPr="00D07102">
        <w:rPr>
          <w:rFonts w:ascii="Times New Roman" w:eastAsia="Times New Roman" w:hAnsi="Times New Roman"/>
          <w:sz w:val="24"/>
          <w:szCs w:val="24"/>
        </w:rPr>
        <w:tab/>
        <w:t>Cracking.</w:t>
      </w:r>
    </w:p>
    <w:p w14:paraId="69D87F33"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xml:space="preserve">This programme uses standardized monitoring and trending activities to track degradation. Deficiencies are documented using approved processes and procedures such that results can be trended. However, the programme does not include formal trending. </w:t>
      </w:r>
    </w:p>
    <w:p w14:paraId="3194B3BA" w14:textId="77777777" w:rsidR="00D07102" w:rsidRPr="00D07102" w:rsidRDefault="00D07102" w:rsidP="00D07102">
      <w:pPr>
        <w:pStyle w:val="Body"/>
        <w:jc w:val="both"/>
        <w:rPr>
          <w:rFonts w:ascii="Times New Roman" w:eastAsia="Times New Roman" w:hAnsi="Times New Roman"/>
          <w:sz w:val="24"/>
          <w:szCs w:val="24"/>
        </w:rPr>
      </w:pPr>
    </w:p>
    <w:p w14:paraId="30BFB09A" w14:textId="0B8C9415"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5.</w:t>
      </w:r>
      <w:r w:rsidRPr="00D07102">
        <w:rPr>
          <w:rFonts w:ascii="Times New Roman" w:eastAsia="Times New Roman" w:hAnsi="Times New Roman"/>
          <w:b/>
          <w:bCs/>
          <w:i/>
          <w:iCs/>
          <w:sz w:val="24"/>
          <w:szCs w:val="24"/>
        </w:rPr>
        <w:tab/>
        <w:t>Mitigati</w:t>
      </w:r>
      <w:r w:rsidR="008965CD">
        <w:rPr>
          <w:rFonts w:ascii="Times New Roman" w:eastAsia="Times New Roman" w:hAnsi="Times New Roman"/>
          <w:b/>
          <w:bCs/>
          <w:i/>
          <w:iCs/>
          <w:sz w:val="24"/>
          <w:szCs w:val="24"/>
        </w:rPr>
        <w:t>on</w:t>
      </w:r>
      <w:r w:rsidRPr="00D07102">
        <w:rPr>
          <w:rFonts w:ascii="Times New Roman" w:eastAsia="Times New Roman" w:hAnsi="Times New Roman"/>
          <w:b/>
          <w:bCs/>
          <w:i/>
          <w:iCs/>
          <w:sz w:val="24"/>
          <w:szCs w:val="24"/>
        </w:rPr>
        <w:t xml:space="preserve"> </w:t>
      </w:r>
      <w:r w:rsidR="008965CD">
        <w:rPr>
          <w:rFonts w:ascii="Times New Roman" w:eastAsia="Times New Roman" w:hAnsi="Times New Roman"/>
          <w:b/>
          <w:bCs/>
          <w:i/>
          <w:iCs/>
          <w:sz w:val="24"/>
          <w:szCs w:val="24"/>
        </w:rPr>
        <w:t xml:space="preserve">of </w:t>
      </w:r>
      <w:r w:rsidRPr="00D07102">
        <w:rPr>
          <w:rFonts w:ascii="Times New Roman" w:eastAsia="Times New Roman" w:hAnsi="Times New Roman"/>
          <w:b/>
          <w:bCs/>
          <w:i/>
          <w:iCs/>
          <w:sz w:val="24"/>
          <w:szCs w:val="24"/>
        </w:rPr>
        <w:t>ageing effects:</w:t>
      </w:r>
    </w:p>
    <w:p w14:paraId="44E6C91B"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This programme is a condition monitoring programme and does not contain any mitigating actions.</w:t>
      </w:r>
    </w:p>
    <w:p w14:paraId="64BDDD62" w14:textId="77777777" w:rsidR="00D07102" w:rsidRPr="00D07102" w:rsidRDefault="00D07102" w:rsidP="00D07102">
      <w:pPr>
        <w:pStyle w:val="Body"/>
        <w:jc w:val="both"/>
        <w:rPr>
          <w:rFonts w:ascii="Times New Roman" w:eastAsia="Times New Roman" w:hAnsi="Times New Roman"/>
          <w:sz w:val="24"/>
          <w:szCs w:val="24"/>
        </w:rPr>
      </w:pPr>
    </w:p>
    <w:p w14:paraId="62E2EADE"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6.</w:t>
      </w:r>
      <w:r w:rsidRPr="00D07102">
        <w:rPr>
          <w:rFonts w:ascii="Times New Roman" w:eastAsia="Times New Roman" w:hAnsi="Times New Roman"/>
          <w:b/>
          <w:bCs/>
          <w:i/>
          <w:iCs/>
          <w:sz w:val="24"/>
          <w:szCs w:val="24"/>
        </w:rPr>
        <w:tab/>
        <w:t xml:space="preserve">Acceptance criteria: </w:t>
      </w:r>
    </w:p>
    <w:p w14:paraId="36592090"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For each component/ageing effect combination, the acceptance criteria are defined to ensure that the need for corrective actions is identified before loss of intended functions [4-6]. For metallic surfaces, any indications of relevant degradation detected are evaluated. For stainless steel surfaces, a clean, shiny surface is expected. Discoloration may indicate the loss of material on the stainless steel surface. Any abnormal surface condition may be an indication of an ageing effect for metals. For flexible polymers, a uniform surface texture and uniform color with no unanticipated dimensional change is expected. Any abnormal surface condition may be an indication of an ageing effect for metals and for polymers. For flexible materials to be considered acceptable, the inspection results indicate that the flexible polymer material is in “as new” condition (e.g. the hardness, flexibility, physical dimensions, and color of the material are unchanged from when the material was new). Cracks are absent within the material. For rigid polymers, surface changes affecting performance, such as erosion, cracking, crazing, and chalking, are subject to further investigation. Acceptance criteria include design standards, procedural requirements, design basis, industry codes or standards, and engineering evaluation.</w:t>
      </w:r>
    </w:p>
    <w:p w14:paraId="14430CF5"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Acceptance criteria, which permit degradation, are based on maintaining the intended function(s) under all current licensing basis design loads. The evaluation projects the degree of observed degradation to the end of the next scheduled inspection.</w:t>
      </w:r>
    </w:p>
    <w:p w14:paraId="6B54C1E8"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Where practical, acceptance criteria are quantitative (e.g. minimum wall thickness, percent shrinkage allowed in an elastomeric seal). Where qualitative acceptance criteria are used, the criteria are clear enough to reasonably ensure that a singular decision is derived based on the observed condition of the components.   For example, the flexibility of an elastomeric sealant is sufficient to ensure that it will properly adhere to surfaces.</w:t>
      </w:r>
    </w:p>
    <w:p w14:paraId="2D9FD63F" w14:textId="77777777" w:rsidR="00D07102" w:rsidRPr="00D07102" w:rsidRDefault="00D07102" w:rsidP="00D07102">
      <w:pPr>
        <w:pStyle w:val="Body"/>
        <w:jc w:val="both"/>
        <w:rPr>
          <w:rFonts w:ascii="Times New Roman" w:eastAsia="Times New Roman" w:hAnsi="Times New Roman"/>
          <w:sz w:val="24"/>
          <w:szCs w:val="24"/>
        </w:rPr>
      </w:pPr>
    </w:p>
    <w:p w14:paraId="67EAF731"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7.</w:t>
      </w:r>
      <w:r w:rsidRPr="00D07102">
        <w:rPr>
          <w:rFonts w:ascii="Times New Roman" w:eastAsia="Times New Roman" w:hAnsi="Times New Roman"/>
          <w:b/>
          <w:bCs/>
          <w:i/>
          <w:iCs/>
          <w:sz w:val="24"/>
          <w:szCs w:val="24"/>
        </w:rPr>
        <w:tab/>
        <w:t xml:space="preserve">Corrective actions: </w:t>
      </w:r>
    </w:p>
    <w:p w14:paraId="3C19F781"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lastRenderedPageBreak/>
        <w:t xml:space="preserve">Results that do not meet the acceptance criteria are addressed in the site corrective action programme. The site corrective actions programme, quality assurance procedures, site review and approval process, and administrative controls are implemented in conformance with the pertinent governing requirements or guidance documents when indications or relevant conditions of degradation </w:t>
      </w:r>
      <w:proofErr w:type="spellStart"/>
      <w:r w:rsidRPr="00D07102">
        <w:rPr>
          <w:rFonts w:ascii="Times New Roman" w:eastAsia="Times New Roman" w:hAnsi="Times New Roman"/>
          <w:sz w:val="24"/>
          <w:szCs w:val="24"/>
        </w:rPr>
        <w:t>can not</w:t>
      </w:r>
      <w:proofErr w:type="spellEnd"/>
      <w:r w:rsidRPr="00D07102">
        <w:rPr>
          <w:rFonts w:ascii="Times New Roman" w:eastAsia="Times New Roman" w:hAnsi="Times New Roman"/>
          <w:sz w:val="24"/>
          <w:szCs w:val="24"/>
        </w:rPr>
        <w:t xml:space="preserve"> be demonstrated to be acceptable.</w:t>
      </w:r>
    </w:p>
    <w:p w14:paraId="4B38EE7F"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Additional inspections are conducted if one of the inspections does not meet acceptance criteria due to current or projected degradation unless the cause of the ageing effect for each applicable material and environment is corrected by repair or replacement for all components constructed of the same material and exposed to the same environment. The number of increased inspections is determined in accordance with the site’s corrective action process. Generic Aging Lessons Learned for Subsequent License Renewal (GALL-SLR) Report [3] provides different approaches to define the number and timing of additional inspections.</w:t>
      </w:r>
    </w:p>
    <w:p w14:paraId="622267C9" w14:textId="77777777" w:rsidR="00D07102" w:rsidRPr="00D07102" w:rsidRDefault="00D07102" w:rsidP="00D07102">
      <w:pPr>
        <w:pStyle w:val="Body"/>
        <w:jc w:val="both"/>
        <w:rPr>
          <w:rFonts w:ascii="Times New Roman" w:eastAsia="Times New Roman" w:hAnsi="Times New Roman"/>
          <w:b/>
          <w:bCs/>
          <w:i/>
          <w:iCs/>
          <w:sz w:val="24"/>
          <w:szCs w:val="24"/>
        </w:rPr>
      </w:pPr>
    </w:p>
    <w:p w14:paraId="5CF46834"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8.</w:t>
      </w:r>
      <w:r w:rsidRPr="00D07102">
        <w:rPr>
          <w:rFonts w:ascii="Times New Roman" w:eastAsia="Times New Roman" w:hAnsi="Times New Roman"/>
          <w:b/>
          <w:bCs/>
          <w:i/>
          <w:iCs/>
          <w:sz w:val="24"/>
          <w:szCs w:val="24"/>
        </w:rPr>
        <w:tab/>
        <w:t>Operating experience feedback and feedback of research and development results:</w:t>
      </w:r>
    </w:p>
    <w:p w14:paraId="274E7918"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08885E45"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At the time when this AMP was produced, no relevant Operating Experience or R&amp;D was identified.</w:t>
      </w:r>
    </w:p>
    <w:p w14:paraId="72953AA8" w14:textId="77777777" w:rsidR="00D07102" w:rsidRPr="00D07102" w:rsidRDefault="00D07102" w:rsidP="00D07102">
      <w:pPr>
        <w:pStyle w:val="Body"/>
        <w:jc w:val="both"/>
        <w:rPr>
          <w:rFonts w:ascii="Times New Roman" w:eastAsia="Times New Roman" w:hAnsi="Times New Roman"/>
          <w:sz w:val="24"/>
          <w:szCs w:val="24"/>
        </w:rPr>
      </w:pPr>
    </w:p>
    <w:p w14:paraId="61F824B5"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9.</w:t>
      </w:r>
      <w:r w:rsidRPr="00D07102">
        <w:rPr>
          <w:rFonts w:ascii="Times New Roman" w:eastAsia="Times New Roman" w:hAnsi="Times New Roman"/>
          <w:b/>
          <w:bCs/>
          <w:i/>
          <w:iCs/>
          <w:sz w:val="24"/>
          <w:szCs w:val="24"/>
        </w:rPr>
        <w:tab/>
        <w:t xml:space="preserve">Quality management: </w:t>
      </w:r>
    </w:p>
    <w:p w14:paraId="07A52054"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In line with SSG-48 [7], Section 4.9 of the IGALL Safety Report [8]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[9] on the safety analysis report supplements, in GS-G-3.1 [10] on the confirmation process (paras 6.76 – 6.77 for preventive actions and paras 6.66 – 6.75 for corrective actions), while Section 2 of SRS No. 106 [11] contains good practices on data collection and record keeping for ageing management.</w:t>
      </w:r>
    </w:p>
    <w:p w14:paraId="64D5F18F"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In addition to that, the following specific information is relevant for this AMP:</w:t>
      </w:r>
    </w:p>
    <w:p w14:paraId="7EA0D9E1"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To evaluate effectiveness, performance indicators are developed and used by the operating organization. Performance indicators can be either quantitative (those that can be objectively measured) or qualitative (measure change over time against specific, predetermined criteria but do not involve enumeration).</w:t>
      </w:r>
    </w:p>
    <w:p w14:paraId="7BD39242"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Quantitative indicator 1</w:t>
      </w:r>
    </w:p>
    <w:p w14:paraId="7E9EE230"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Definition: ratio of non-compliances related to frequency of activities.</w:t>
      </w:r>
    </w:p>
    <w:p w14:paraId="30584127"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Explanation: the frequency established for activities should ensure the compliance of the in-scope components’ intended functions throughout the period of intended operation. The ratio of non-compliances related to frequency of activities characterizes the occurrence of the deviations, which may jeopardize the effectiveness of the AMP and decrease the quantitative indicator value.</w:t>
      </w:r>
    </w:p>
    <w:p w14:paraId="44C8366E"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lastRenderedPageBreak/>
        <w:t>Quantitative indicator 2</w:t>
      </w:r>
    </w:p>
    <w:p w14:paraId="4FDCFBD1"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Definition: ratio of degradation indications caused by ageing effects and mechanisms managed by the AMP out of the acceptance criteria.</w:t>
      </w:r>
    </w:p>
    <w:p w14:paraId="6BB5634E" w14:textId="77777777" w:rsidR="00D07102" w:rsidRPr="00F836B3" w:rsidRDefault="00D07102" w:rsidP="00D07102">
      <w:pPr>
        <w:pStyle w:val="Body"/>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Explanation: the ratio characterizes the occurrence and severity of the degradations caused by the ageing effects and mechanisms managed by the AMP. If any component in scope of AMP presents degradations which do not comply with the acceptance criteria, the effectiveness of the AMP may be jeopardized with the subsequent decrease of the quantitative indicator.</w:t>
      </w:r>
    </w:p>
    <w:p w14:paraId="28AF9422" w14:textId="77777777" w:rsidR="00D07102" w:rsidRPr="00D07102" w:rsidRDefault="00D07102" w:rsidP="00D07102">
      <w:pPr>
        <w:pStyle w:val="Body"/>
        <w:jc w:val="both"/>
        <w:rPr>
          <w:rFonts w:ascii="Times New Roman" w:eastAsia="Times New Roman" w:hAnsi="Times New Roman"/>
          <w:sz w:val="24"/>
          <w:szCs w:val="24"/>
        </w:rPr>
      </w:pPr>
      <w:r w:rsidRPr="00D07102">
        <w:rPr>
          <w:rFonts w:ascii="Times New Roman" w:eastAsia="Times New Roman" w:hAnsi="Times New Roman"/>
          <w:sz w:val="24"/>
          <w:szCs w:val="24"/>
        </w:rPr>
        <w:t> </w:t>
      </w:r>
    </w:p>
    <w:p w14:paraId="72D2AC4C" w14:textId="77777777" w:rsidR="00D07102" w:rsidRPr="00D07102" w:rsidRDefault="00D07102" w:rsidP="00D07102">
      <w:pPr>
        <w:pStyle w:val="Body"/>
        <w:jc w:val="both"/>
        <w:rPr>
          <w:rFonts w:ascii="Times New Roman" w:eastAsia="Times New Roman" w:hAnsi="Times New Roman"/>
          <w:b/>
          <w:bCs/>
          <w:i/>
          <w:iCs/>
          <w:sz w:val="24"/>
          <w:szCs w:val="24"/>
        </w:rPr>
      </w:pPr>
      <w:r w:rsidRPr="00D07102">
        <w:rPr>
          <w:rFonts w:ascii="Times New Roman" w:eastAsia="Times New Roman" w:hAnsi="Times New Roman"/>
          <w:b/>
          <w:bCs/>
          <w:i/>
          <w:iCs/>
          <w:sz w:val="24"/>
          <w:szCs w:val="24"/>
        </w:rPr>
        <w:t>References</w:t>
      </w:r>
    </w:p>
    <w:p w14:paraId="1728D88C" w14:textId="77777777" w:rsidR="00D07102" w:rsidRPr="00D07102" w:rsidRDefault="00D07102" w:rsidP="00D07102">
      <w:pPr>
        <w:pStyle w:val="Body"/>
        <w:ind w:left="567" w:hanging="56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[1]</w:t>
      </w:r>
      <w:r w:rsidRPr="00D07102">
        <w:rPr>
          <w:rFonts w:ascii="Times New Roman" w:eastAsia="Times New Roman" w:hAnsi="Times New Roman"/>
          <w:sz w:val="24"/>
          <w:szCs w:val="24"/>
        </w:rPr>
        <w:tab/>
      </w:r>
      <w:r w:rsidRPr="00F836B3">
        <w:rPr>
          <w:rFonts w:ascii="Times New Roman" w:eastAsia="Times New Roman" w:hAnsi="Times New Roman"/>
          <w:color w:val="FF0000"/>
          <w:sz w:val="24"/>
          <w:szCs w:val="24"/>
        </w:rPr>
        <w:t>UNITED STATES NUCLEAR REGULATORY COMMISSION, Standard Review Plan for Review of Subsequent License Renewal Applications for Nuclear Power Plants, NUREG-2192, USNRC, Washington, D.C. (2017).</w:t>
      </w:r>
    </w:p>
    <w:p w14:paraId="15082CEF" w14:textId="77777777" w:rsidR="00D07102" w:rsidRPr="00D07102" w:rsidRDefault="00D07102" w:rsidP="00D07102">
      <w:pPr>
        <w:pStyle w:val="Body"/>
        <w:ind w:left="567" w:hanging="56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[2]</w:t>
      </w:r>
      <w:r w:rsidRPr="00D07102">
        <w:rPr>
          <w:rFonts w:ascii="Times New Roman" w:eastAsia="Times New Roman" w:hAnsi="Times New Roman"/>
          <w:sz w:val="24"/>
          <w:szCs w:val="24"/>
        </w:rPr>
        <w:tab/>
        <w:t>UNITED STATES NUCLEAR REGULATORY COMMISSION, Aging Management of Internal Surfaces, Fire Water Systems, Atmospheric Storage Tanks, and Corrosion Under Insulation, LR-ISG-2012-02, USNRC, Washington, D.C. (2012).</w:t>
      </w:r>
    </w:p>
    <w:p w14:paraId="75B07788" w14:textId="77777777" w:rsidR="00D07102" w:rsidRPr="00D07102" w:rsidRDefault="00D07102" w:rsidP="00D07102">
      <w:pPr>
        <w:pStyle w:val="Body"/>
        <w:ind w:left="567" w:hanging="56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[3]</w:t>
      </w:r>
      <w:r w:rsidRPr="00D07102">
        <w:rPr>
          <w:rFonts w:ascii="Times New Roman" w:eastAsia="Times New Roman" w:hAnsi="Times New Roman"/>
          <w:sz w:val="24"/>
          <w:szCs w:val="24"/>
        </w:rPr>
        <w:tab/>
      </w:r>
      <w:r w:rsidRPr="00F836B3">
        <w:rPr>
          <w:rFonts w:ascii="Times New Roman" w:eastAsia="Times New Roman" w:hAnsi="Times New Roman"/>
          <w:color w:val="FF0000"/>
          <w:sz w:val="24"/>
          <w:szCs w:val="24"/>
        </w:rPr>
        <w:t>UNITED STATES NUCLEAR REGULATORY COMMISSION, Generic Aging Lessons Learned for Subsequent License Renewal (GALL-SLR) Report, NUREG-2191, Vol. 2, USNRC, Washington, D.C. (2017).</w:t>
      </w:r>
    </w:p>
    <w:p w14:paraId="0DE68AC7" w14:textId="77777777" w:rsidR="00D07102" w:rsidRPr="00D07102" w:rsidRDefault="00D07102" w:rsidP="00D07102">
      <w:pPr>
        <w:pStyle w:val="Body"/>
        <w:ind w:left="567" w:hanging="56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[4]</w:t>
      </w:r>
      <w:r w:rsidRPr="00D07102">
        <w:rPr>
          <w:rFonts w:ascii="Times New Roman" w:eastAsia="Times New Roman" w:hAnsi="Times New Roman"/>
          <w:sz w:val="24"/>
          <w:szCs w:val="24"/>
        </w:rPr>
        <w:tab/>
        <w:t>ELECTRIC POWER RESEARCH INSTITUTE, Aging Assessment Field Guide, Technical Report 1007933, EPRI, Palo Alto, CA (2003).</w:t>
      </w:r>
    </w:p>
    <w:p w14:paraId="6066BD32" w14:textId="77777777" w:rsidR="00D07102" w:rsidRPr="00D07102" w:rsidRDefault="00D07102" w:rsidP="00D07102">
      <w:pPr>
        <w:pStyle w:val="Body"/>
        <w:ind w:left="567" w:hanging="56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[5]</w:t>
      </w:r>
      <w:r w:rsidRPr="00D07102">
        <w:rPr>
          <w:rFonts w:ascii="Times New Roman" w:eastAsia="Times New Roman" w:hAnsi="Times New Roman"/>
          <w:sz w:val="24"/>
          <w:szCs w:val="24"/>
        </w:rPr>
        <w:tab/>
        <w:t>ELECTRIC POWER RESEARCH INSTITUTE, Aging Identification and Assessment Checklist, Technical Report 1009743, EPRI, Palo Alto, CA (2004).</w:t>
      </w:r>
    </w:p>
    <w:p w14:paraId="60751D40" w14:textId="77777777" w:rsidR="00D07102" w:rsidRPr="00D07102" w:rsidRDefault="00D07102" w:rsidP="00D07102">
      <w:pPr>
        <w:pStyle w:val="Body"/>
        <w:ind w:left="567" w:hanging="567"/>
        <w:contextualSpacing/>
        <w:jc w:val="both"/>
        <w:rPr>
          <w:rFonts w:ascii="Times New Roman" w:eastAsia="Times New Roman" w:hAnsi="Times New Roman"/>
          <w:sz w:val="24"/>
          <w:szCs w:val="24"/>
        </w:rPr>
      </w:pPr>
      <w:r w:rsidRPr="00D07102">
        <w:rPr>
          <w:rFonts w:ascii="Times New Roman" w:eastAsia="Times New Roman" w:hAnsi="Times New Roman"/>
          <w:sz w:val="24"/>
          <w:szCs w:val="24"/>
        </w:rPr>
        <w:t>[6]</w:t>
      </w:r>
      <w:r w:rsidRPr="00D07102">
        <w:rPr>
          <w:rFonts w:ascii="Times New Roman" w:eastAsia="Times New Roman" w:hAnsi="Times New Roman"/>
          <w:sz w:val="24"/>
          <w:szCs w:val="24"/>
        </w:rPr>
        <w:tab/>
        <w:t xml:space="preserve">INSTITUTE OF NUCLEAR POWER OPERATIONS, INPO 85-033, Good Practice TS 413, Use of System Engineers, INPO, Atlanta, GA (1988). </w:t>
      </w:r>
    </w:p>
    <w:p w14:paraId="07F00448" w14:textId="77777777" w:rsidR="00D07102" w:rsidRPr="00F836B3" w:rsidRDefault="00D07102" w:rsidP="00D07102">
      <w:pPr>
        <w:pStyle w:val="Body"/>
        <w:ind w:left="567" w:hanging="567"/>
        <w:contextualSpacing/>
        <w:jc w:val="both"/>
        <w:rPr>
          <w:rFonts w:ascii="Times New Roman" w:eastAsia="Times New Roman" w:hAnsi="Times New Roman"/>
          <w:color w:val="FF0000"/>
          <w:sz w:val="24"/>
          <w:szCs w:val="24"/>
        </w:rPr>
      </w:pPr>
      <w:r w:rsidRPr="00D07102">
        <w:rPr>
          <w:rFonts w:ascii="Times New Roman" w:eastAsia="Times New Roman" w:hAnsi="Times New Roman"/>
          <w:sz w:val="24"/>
          <w:szCs w:val="24"/>
        </w:rPr>
        <w:t>[7]</w:t>
      </w:r>
      <w:r w:rsidRPr="00D07102">
        <w:rPr>
          <w:rFonts w:ascii="Times New Roman" w:eastAsia="Times New Roman" w:hAnsi="Times New Roman"/>
          <w:sz w:val="24"/>
          <w:szCs w:val="24"/>
        </w:rPr>
        <w:tab/>
      </w:r>
      <w:r w:rsidRPr="00F836B3">
        <w:rPr>
          <w:rFonts w:ascii="Times New Roman" w:eastAsia="Times New Roman" w:hAnsi="Times New Roman"/>
          <w:color w:val="FF0000"/>
          <w:sz w:val="24"/>
          <w:szCs w:val="24"/>
        </w:rPr>
        <w:t>INTERNATIONAL ATOMIC ENERGY AGENCY, Ageing Management and Development of a Programme for Long Term Operation of Nuclear Power Plants, Specific Safety Guide No. SSG-48, IAEA, Vienna (2018).</w:t>
      </w:r>
    </w:p>
    <w:p w14:paraId="1DE10471" w14:textId="7CEEF058" w:rsidR="00D07102" w:rsidRPr="00F836B3" w:rsidRDefault="00D07102" w:rsidP="00D07102">
      <w:pPr>
        <w:pStyle w:val="Body"/>
        <w:ind w:left="567" w:hanging="567"/>
        <w:contextualSpacing/>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[8]</w:t>
      </w:r>
      <w:r w:rsidRPr="00F836B3">
        <w:rPr>
          <w:rFonts w:ascii="Times New Roman" w:eastAsia="Times New Roman" w:hAnsi="Times New Roman"/>
          <w:color w:val="FF0000"/>
          <w:sz w:val="24"/>
          <w:szCs w:val="24"/>
        </w:rPr>
        <w:tab/>
        <w:t>INTERNATIONAL ATOMIC ENERGY AGENCY, Ageing Management for Nuclear Power Plants: International Generic Ageing Lessons Learned (IGALL), Safety Reports Series No. 82 (Rev. 2), Vienna (preprint)</w:t>
      </w:r>
    </w:p>
    <w:p w14:paraId="5C742510" w14:textId="77777777" w:rsidR="00D07102" w:rsidRPr="00F836B3" w:rsidRDefault="00D07102" w:rsidP="00D07102">
      <w:pPr>
        <w:pStyle w:val="Body"/>
        <w:ind w:left="567" w:hanging="567"/>
        <w:contextualSpacing/>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[9]</w:t>
      </w:r>
      <w:r w:rsidRPr="00F836B3">
        <w:rPr>
          <w:rFonts w:ascii="Times New Roman" w:eastAsia="Times New Roman" w:hAnsi="Times New Roman"/>
          <w:color w:val="FF0000"/>
          <w:sz w:val="24"/>
          <w:szCs w:val="24"/>
        </w:rPr>
        <w:tab/>
        <w:t xml:space="preserve">INTERNATIONAL ATOMIC ENERGY AGENCY, Format and Content of the Safety Analysis Report for Nuclear Power Plants, SSG-61, IAEA, Vienna (2021). </w:t>
      </w:r>
    </w:p>
    <w:p w14:paraId="6EBEB1A0" w14:textId="77777777" w:rsidR="00D07102" w:rsidRPr="00F836B3" w:rsidRDefault="00D07102" w:rsidP="00D07102">
      <w:pPr>
        <w:pStyle w:val="Body"/>
        <w:ind w:left="567" w:hanging="567"/>
        <w:contextualSpacing/>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[10]</w:t>
      </w:r>
      <w:r w:rsidRPr="00F836B3">
        <w:rPr>
          <w:rFonts w:ascii="Times New Roman" w:eastAsia="Times New Roman" w:hAnsi="Times New Roman"/>
          <w:color w:val="FF0000"/>
          <w:sz w:val="24"/>
          <w:szCs w:val="24"/>
        </w:rPr>
        <w:tab/>
        <w:t xml:space="preserve">INTERNATIONAL ATOMIC ENERGY AGENCY, Application of the Management System for Facilities and Activities, GS-G-3.1, IAEA, Vienna (2006). </w:t>
      </w:r>
    </w:p>
    <w:p w14:paraId="330D4D4B" w14:textId="24B126A9" w:rsidR="002B27F1" w:rsidRPr="00F836B3" w:rsidRDefault="00D07102" w:rsidP="00D07102">
      <w:pPr>
        <w:pStyle w:val="Body"/>
        <w:ind w:left="567" w:hanging="567"/>
        <w:contextualSpacing/>
        <w:jc w:val="both"/>
        <w:rPr>
          <w:rFonts w:ascii="Times New Roman" w:eastAsia="Times New Roman" w:hAnsi="Times New Roman"/>
          <w:color w:val="FF0000"/>
          <w:sz w:val="24"/>
          <w:szCs w:val="24"/>
        </w:rPr>
      </w:pPr>
      <w:r w:rsidRPr="00F836B3">
        <w:rPr>
          <w:rFonts w:ascii="Times New Roman" w:eastAsia="Times New Roman" w:hAnsi="Times New Roman"/>
          <w:color w:val="FF0000"/>
          <w:sz w:val="24"/>
          <w:szCs w:val="24"/>
        </w:rPr>
        <w:t>[11]</w:t>
      </w:r>
      <w:r w:rsidRPr="00F836B3">
        <w:rPr>
          <w:rFonts w:ascii="Times New Roman" w:eastAsia="Times New Roman" w:hAnsi="Times New Roman"/>
          <w:color w:val="FF0000"/>
          <w:sz w:val="24"/>
          <w:szCs w:val="24"/>
        </w:rPr>
        <w:tab/>
        <w:t xml:space="preserve"> INTERNATIONAL ATOMIC ENERGY AGENCY, Ageing Management and Long Term Operation of Nuclear Power Plants: Data Management, Scope Setting, Plant Programs and Documentation, Safety Report Series No. 106, IAEA, Vienna (2022).</w:t>
      </w:r>
    </w:p>
    <w:sectPr w:rsidR="002B27F1" w:rsidRPr="00F83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2"/>
    <w:rsid w:val="002B27F1"/>
    <w:rsid w:val="003E051B"/>
    <w:rsid w:val="008965CD"/>
    <w:rsid w:val="00B8348C"/>
    <w:rsid w:val="00D07102"/>
    <w:rsid w:val="00F83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C11E"/>
  <w15:chartTrackingRefBased/>
  <w15:docId w15:val="{4CBCA08A-CA86-4AAC-BCB6-C5C6EB33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D07102"/>
    <w:pPr>
      <w:keepLines w:val="0"/>
      <w:tabs>
        <w:tab w:val="left" w:pos="360"/>
      </w:tabs>
      <w:spacing w:before="0" w:line="240" w:lineRule="auto"/>
      <w:outlineLvl w:val="1"/>
    </w:pPr>
    <w:rPr>
      <w:rFonts w:ascii="Cambria" w:eastAsia="Times New Roman" w:hAnsi="Cambria" w:cs="Times New Roman"/>
      <w:b/>
      <w:bCs/>
      <w:i/>
      <w:iCs/>
      <w:color w:val="auto"/>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D07102"/>
    <w:rPr>
      <w:rFonts w:asciiTheme="majorHAnsi" w:eastAsiaTheme="majorEastAsia" w:hAnsiTheme="majorHAnsi" w:cstheme="majorBidi"/>
      <w:color w:val="2F5496" w:themeColor="accent1" w:themeShade="BF"/>
      <w:sz w:val="26"/>
      <w:szCs w:val="26"/>
    </w:rPr>
  </w:style>
  <w:style w:type="character" w:customStyle="1" w:styleId="Heading2Char1">
    <w:name w:val="Heading 2 Char1"/>
    <w:aliases w:val="Char Char Char Char Char Char,Char Char Char Char Char Char Char Char Char,Char Char Char Char Char1 Char,Char Char Char1 Char,Char Char Char Char Char Char1 Char,Char Char Char Char Char Char Char1 Char,Char Char Char Char1 Char"/>
    <w:link w:val="Heading2"/>
    <w:uiPriority w:val="9"/>
    <w:rsid w:val="00D07102"/>
    <w:rPr>
      <w:rFonts w:ascii="Cambria" w:eastAsia="Times New Roman" w:hAnsi="Cambria" w:cs="Times New Roman"/>
      <w:b/>
      <w:bCs/>
      <w:i/>
      <w:iCs/>
      <w:sz w:val="28"/>
      <w:szCs w:val="28"/>
      <w:lang w:val="x-none" w:eastAsia="x-none"/>
    </w:rPr>
  </w:style>
  <w:style w:type="character" w:customStyle="1" w:styleId="Heading1Char">
    <w:name w:val="Heading 1 Char"/>
    <w:basedOn w:val="DefaultParagraphFont"/>
    <w:link w:val="Heading1"/>
    <w:uiPriority w:val="9"/>
    <w:rsid w:val="00D07102"/>
    <w:rPr>
      <w:rFonts w:asciiTheme="majorHAnsi" w:eastAsiaTheme="majorEastAsia" w:hAnsiTheme="majorHAnsi" w:cstheme="majorBidi"/>
      <w:color w:val="2F5496" w:themeColor="accent1" w:themeShade="BF"/>
      <w:sz w:val="32"/>
      <w:szCs w:val="32"/>
    </w:rPr>
  </w:style>
  <w:style w:type="paragraph" w:customStyle="1" w:styleId="Body">
    <w:name w:val="Body"/>
    <w:basedOn w:val="Normal"/>
    <w:link w:val="BodyChar"/>
    <w:uiPriority w:val="99"/>
    <w:qFormat/>
    <w:rsid w:val="00D07102"/>
    <w:pPr>
      <w:spacing w:before="120" w:after="120" w:line="240" w:lineRule="auto"/>
    </w:pPr>
    <w:rPr>
      <w:rFonts w:ascii="Arial" w:eastAsia="MS Mincho" w:hAnsi="Arial" w:cs="Times New Roman"/>
      <w:szCs w:val="20"/>
      <w:lang w:val="en-US"/>
    </w:rPr>
  </w:style>
  <w:style w:type="character" w:customStyle="1" w:styleId="BodyChar">
    <w:name w:val="Body Char"/>
    <w:link w:val="Body"/>
    <w:uiPriority w:val="99"/>
    <w:locked/>
    <w:rsid w:val="00D07102"/>
    <w:rPr>
      <w:rFonts w:ascii="Arial" w:eastAsia="MS Mincho"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E9FF92A1-C315-4EB1-9E7B-E3640F96DCF9}"/>
</file>

<file path=customXml/itemProps2.xml><?xml version="1.0" encoding="utf-8"?>
<ds:datastoreItem xmlns:ds="http://schemas.openxmlformats.org/officeDocument/2006/customXml" ds:itemID="{3227BA5C-CB26-4F59-8E6E-8FACCE69F53D}"/>
</file>

<file path=customXml/itemProps3.xml><?xml version="1.0" encoding="utf-8"?>
<ds:datastoreItem xmlns:ds="http://schemas.openxmlformats.org/officeDocument/2006/customXml" ds:itemID="{44EBB42D-1DFC-4FA1-984E-519E1722BBF1}"/>
</file>

<file path=docProps/app.xml><?xml version="1.0" encoding="utf-8"?>
<Properties xmlns="http://schemas.openxmlformats.org/officeDocument/2006/extended-properties" xmlns:vt="http://schemas.openxmlformats.org/officeDocument/2006/docPropsVTypes">
  <Template>Normal.dotm</Template>
  <Pages>6</Pages>
  <Words>2918</Words>
  <Characters>16636</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