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73FAB5" w14:textId="5150F04C" w:rsidR="00D262E7" w:rsidRPr="007B200A" w:rsidRDefault="00D262E7" w:rsidP="003B39D9">
      <w:pPr>
        <w:pStyle w:val="Heading3"/>
        <w:tabs>
          <w:tab w:val="left" w:pos="1134"/>
        </w:tabs>
        <w:spacing w:before="120"/>
        <w:rPr>
          <w:rFonts w:ascii="Times New Roman" w:hAnsi="Times New Roman"/>
          <w:caps/>
          <w:sz w:val="24"/>
          <w:szCs w:val="24"/>
          <w:lang w:val="fr-FR"/>
        </w:rPr>
      </w:pPr>
      <w:bookmarkStart w:id="0" w:name="_Toc88877559"/>
      <w:r w:rsidRPr="007B200A">
        <w:rPr>
          <w:rFonts w:ascii="Times New Roman" w:hAnsi="Times New Roman"/>
          <w:caps/>
          <w:sz w:val="24"/>
          <w:szCs w:val="24"/>
          <w:lang w:val="fr-FR"/>
        </w:rPr>
        <w:t>AMP</w:t>
      </w:r>
      <w:r w:rsidR="00A70D35" w:rsidRPr="007B200A">
        <w:rPr>
          <w:rFonts w:ascii="Times New Roman" w:hAnsi="Times New Roman"/>
          <w:caps/>
          <w:sz w:val="24"/>
          <w:szCs w:val="24"/>
          <w:lang w:val="fr-FR"/>
        </w:rPr>
        <w:t xml:space="preserve"> </w:t>
      </w:r>
      <w:r w:rsidRPr="007B200A">
        <w:rPr>
          <w:rFonts w:ascii="Times New Roman" w:hAnsi="Times New Roman"/>
          <w:caps/>
          <w:sz w:val="24"/>
          <w:szCs w:val="24"/>
          <w:lang w:val="fr-FR"/>
        </w:rPr>
        <w:t xml:space="preserve">101 </w:t>
      </w:r>
      <w:r w:rsidR="00264074" w:rsidRPr="007B200A">
        <w:rPr>
          <w:rFonts w:ascii="Times New Roman" w:hAnsi="Times New Roman"/>
          <w:caps/>
          <w:sz w:val="24"/>
          <w:szCs w:val="24"/>
          <w:lang w:val="fr-FR"/>
        </w:rPr>
        <w:tab/>
      </w:r>
      <w:r w:rsidR="00D86FE4" w:rsidRPr="007B200A">
        <w:rPr>
          <w:rFonts w:ascii="Times New Roman" w:hAnsi="Times New Roman"/>
          <w:caps/>
          <w:sz w:val="24"/>
          <w:szCs w:val="24"/>
          <w:lang w:val="fr-FR"/>
        </w:rPr>
        <w:t>LOW</w:t>
      </w:r>
      <w:r w:rsidR="00C67642" w:rsidRPr="007B200A">
        <w:rPr>
          <w:rFonts w:ascii="Times New Roman" w:hAnsi="Times New Roman"/>
          <w:caps/>
          <w:sz w:val="24"/>
          <w:szCs w:val="24"/>
          <w:lang w:val="fr-FR"/>
        </w:rPr>
        <w:t xml:space="preserve"> </w:t>
      </w:r>
      <w:r w:rsidR="00D86FE4" w:rsidRPr="007B200A">
        <w:rPr>
          <w:rFonts w:ascii="Times New Roman" w:hAnsi="Times New Roman"/>
          <w:caps/>
          <w:sz w:val="24"/>
          <w:szCs w:val="24"/>
          <w:lang w:val="fr-FR"/>
        </w:rPr>
        <w:t xml:space="preserve">CYCLE </w:t>
      </w:r>
      <w:r w:rsidRPr="007B200A">
        <w:rPr>
          <w:rFonts w:ascii="Times New Roman" w:hAnsi="Times New Roman"/>
          <w:caps/>
          <w:sz w:val="24"/>
          <w:szCs w:val="24"/>
          <w:lang w:val="fr-FR"/>
        </w:rPr>
        <w:t xml:space="preserve">FATIGUE </w:t>
      </w:r>
      <w:bookmarkEnd w:id="0"/>
      <w:r w:rsidR="009221F6" w:rsidRPr="007B200A">
        <w:rPr>
          <w:rFonts w:ascii="Times New Roman" w:hAnsi="Times New Roman"/>
          <w:caps/>
          <w:sz w:val="24"/>
          <w:szCs w:val="24"/>
          <w:lang w:val="fr-FR"/>
        </w:rPr>
        <w:t xml:space="preserve">MONITORING </w:t>
      </w:r>
      <w:r w:rsidR="00CC019E" w:rsidRPr="007B200A">
        <w:rPr>
          <w:rFonts w:ascii="Times New Roman" w:hAnsi="Times New Roman"/>
          <w:caps/>
          <w:sz w:val="24"/>
          <w:szCs w:val="24"/>
          <w:lang w:val="fr-FR"/>
        </w:rPr>
        <w:t>(Version 20</w:t>
      </w:r>
      <w:r w:rsidR="00471359">
        <w:rPr>
          <w:rFonts w:ascii="Times New Roman" w:hAnsi="Times New Roman"/>
          <w:caps/>
          <w:sz w:val="24"/>
          <w:szCs w:val="24"/>
          <w:lang w:val="fr-FR"/>
        </w:rPr>
        <w:t>20</w:t>
      </w:r>
      <w:r w:rsidR="00CC019E" w:rsidRPr="007B200A">
        <w:rPr>
          <w:rFonts w:ascii="Times New Roman" w:hAnsi="Times New Roman"/>
          <w:caps/>
          <w:sz w:val="24"/>
          <w:szCs w:val="24"/>
          <w:lang w:val="fr-FR"/>
        </w:rPr>
        <w:t>)</w:t>
      </w:r>
    </w:p>
    <w:p w14:paraId="4B8554C9" w14:textId="77777777" w:rsidR="00D262E7" w:rsidRPr="007B200A" w:rsidRDefault="00D262E7" w:rsidP="003B39D9">
      <w:pPr>
        <w:pStyle w:val="Heading3"/>
        <w:spacing w:before="120"/>
        <w:rPr>
          <w:rFonts w:ascii="Times New Roman" w:hAnsi="Times New Roman"/>
          <w:sz w:val="24"/>
          <w:szCs w:val="24"/>
          <w:lang w:val="fr-FR"/>
        </w:rPr>
      </w:pPr>
      <w:r w:rsidRPr="007B200A">
        <w:rPr>
          <w:rFonts w:ascii="Times New Roman" w:hAnsi="Times New Roman"/>
          <w:sz w:val="24"/>
          <w:szCs w:val="24"/>
          <w:lang w:val="fr-FR"/>
        </w:rPr>
        <w:t>Programme Description</w:t>
      </w:r>
    </w:p>
    <w:p w14:paraId="55128C98" w14:textId="77777777" w:rsidR="00D262E7" w:rsidRPr="00A019F7" w:rsidRDefault="00D262E7" w:rsidP="003B39D9">
      <w:pPr>
        <w:pStyle w:val="Body"/>
        <w:tabs>
          <w:tab w:val="clear" w:pos="2520"/>
        </w:tabs>
        <w:ind w:left="0" w:firstLine="0"/>
        <w:jc w:val="both"/>
        <w:rPr>
          <w:rFonts w:ascii="Times New Roman" w:hAnsi="Times New Roman"/>
          <w:sz w:val="24"/>
          <w:szCs w:val="24"/>
        </w:rPr>
      </w:pPr>
      <w:r w:rsidRPr="00A019F7">
        <w:rPr>
          <w:rFonts w:ascii="Times New Roman" w:hAnsi="Times New Roman"/>
          <w:sz w:val="24"/>
          <w:szCs w:val="24"/>
        </w:rPr>
        <w:t xml:space="preserve">This </w:t>
      </w:r>
      <w:proofErr w:type="spellStart"/>
      <w:r w:rsidRPr="00A019F7">
        <w:rPr>
          <w:rFonts w:ascii="Times New Roman" w:hAnsi="Times New Roman"/>
          <w:sz w:val="24"/>
          <w:szCs w:val="24"/>
        </w:rPr>
        <w:t>programme</w:t>
      </w:r>
      <w:proofErr w:type="spellEnd"/>
      <w:r w:rsidRPr="00A019F7">
        <w:rPr>
          <w:rFonts w:ascii="Times New Roman" w:hAnsi="Times New Roman"/>
          <w:sz w:val="24"/>
          <w:szCs w:val="24"/>
        </w:rPr>
        <w:t xml:space="preserve"> manages low-cycle fatigue effects of thermal and pressure cyclic transients considered in the nuclear plant design basis or included in its licensing basis during the plant operating life</w:t>
      </w:r>
      <w:r w:rsidR="00894D3A">
        <w:rPr>
          <w:rFonts w:ascii="Times New Roman" w:hAnsi="Times New Roman"/>
          <w:sz w:val="24"/>
          <w:szCs w:val="24"/>
        </w:rPr>
        <w:t>. Also included are</w:t>
      </w:r>
      <w:r w:rsidRPr="00A019F7">
        <w:rPr>
          <w:rFonts w:ascii="Times New Roman" w:hAnsi="Times New Roman"/>
          <w:sz w:val="24"/>
          <w:szCs w:val="24"/>
        </w:rPr>
        <w:t xml:space="preserve"> transients (under control or investigation) due to the occurrence of fluid conditions having the potential for inducing cyclic thermal stresses like thermally stratified flow</w:t>
      </w:r>
      <w:r w:rsidR="008A0F26">
        <w:rPr>
          <w:rFonts w:ascii="Times New Roman" w:hAnsi="Times New Roman"/>
          <w:sz w:val="24"/>
          <w:szCs w:val="24"/>
        </w:rPr>
        <w:t xml:space="preserve"> occurring</w:t>
      </w:r>
      <w:r w:rsidR="001C34BD">
        <w:rPr>
          <w:rFonts w:ascii="Times New Roman" w:hAnsi="Times New Roman"/>
          <w:sz w:val="24"/>
          <w:szCs w:val="24"/>
        </w:rPr>
        <w:t xml:space="preserve"> </w:t>
      </w:r>
      <w:r w:rsidR="003B7630">
        <w:rPr>
          <w:rFonts w:ascii="Times New Roman" w:hAnsi="Times New Roman"/>
          <w:sz w:val="24"/>
          <w:szCs w:val="24"/>
        </w:rPr>
        <w:t xml:space="preserve">for example </w:t>
      </w:r>
      <w:r w:rsidR="001C34BD">
        <w:rPr>
          <w:rFonts w:ascii="Times New Roman" w:hAnsi="Times New Roman"/>
          <w:sz w:val="24"/>
          <w:szCs w:val="24"/>
        </w:rPr>
        <w:t>in</w:t>
      </w:r>
      <w:r w:rsidR="008A0F26">
        <w:rPr>
          <w:rFonts w:ascii="Times New Roman" w:hAnsi="Times New Roman"/>
          <w:sz w:val="24"/>
          <w:szCs w:val="24"/>
        </w:rPr>
        <w:t xml:space="preserve"> pressurizer surge lines</w:t>
      </w:r>
      <w:r w:rsidR="00247578" w:rsidRPr="00316288">
        <w:rPr>
          <w:rFonts w:ascii="Times New Roman" w:hAnsi="Times New Roman"/>
          <w:sz w:val="24"/>
          <w:szCs w:val="24"/>
        </w:rPr>
        <w:t xml:space="preserve"> [1</w:t>
      </w:r>
      <w:r w:rsidR="00B046B3">
        <w:rPr>
          <w:rFonts w:ascii="Times New Roman" w:hAnsi="Times New Roman"/>
          <w:sz w:val="24"/>
          <w:szCs w:val="24"/>
        </w:rPr>
        <w:t>,</w:t>
      </w:r>
      <w:r w:rsidR="00AC0F87">
        <w:rPr>
          <w:rFonts w:ascii="Times New Roman" w:hAnsi="Times New Roman"/>
          <w:sz w:val="24"/>
          <w:szCs w:val="24"/>
        </w:rPr>
        <w:t xml:space="preserve"> </w:t>
      </w:r>
      <w:r w:rsidR="00B046B3">
        <w:rPr>
          <w:rFonts w:ascii="Times New Roman" w:hAnsi="Times New Roman"/>
          <w:sz w:val="24"/>
          <w:szCs w:val="24"/>
        </w:rPr>
        <w:t>2</w:t>
      </w:r>
      <w:r w:rsidR="00247578" w:rsidRPr="00316288">
        <w:rPr>
          <w:rFonts w:ascii="Times New Roman" w:hAnsi="Times New Roman"/>
          <w:sz w:val="24"/>
          <w:szCs w:val="24"/>
        </w:rPr>
        <w:t>]</w:t>
      </w:r>
      <w:r w:rsidRPr="00316288">
        <w:rPr>
          <w:rFonts w:ascii="Times New Roman" w:hAnsi="Times New Roman"/>
          <w:sz w:val="24"/>
          <w:szCs w:val="24"/>
        </w:rPr>
        <w:t>.</w:t>
      </w:r>
      <w:r w:rsidRPr="00A019F7">
        <w:rPr>
          <w:rFonts w:ascii="Times New Roman" w:hAnsi="Times New Roman"/>
          <w:sz w:val="24"/>
          <w:szCs w:val="24"/>
        </w:rPr>
        <w:t xml:space="preserve"> It applies to components (including but not limited to mechanical equipment and piping) subject to cyclic loading as described above</w:t>
      </w:r>
      <w:r w:rsidR="0035235E">
        <w:rPr>
          <w:rFonts w:ascii="Times New Roman" w:hAnsi="Times New Roman"/>
          <w:sz w:val="24"/>
          <w:szCs w:val="24"/>
        </w:rPr>
        <w:t xml:space="preserve"> [</w:t>
      </w:r>
      <w:r w:rsidR="00B046B3">
        <w:rPr>
          <w:rFonts w:ascii="Times New Roman" w:hAnsi="Times New Roman"/>
          <w:sz w:val="24"/>
          <w:szCs w:val="24"/>
        </w:rPr>
        <w:t>3-9]</w:t>
      </w:r>
      <w:r w:rsidR="007E28DC">
        <w:rPr>
          <w:rFonts w:ascii="Times New Roman" w:hAnsi="Times New Roman"/>
          <w:sz w:val="24"/>
          <w:szCs w:val="24"/>
        </w:rPr>
        <w:t>.</w:t>
      </w:r>
    </w:p>
    <w:p w14:paraId="43A87A6F" w14:textId="77777777" w:rsidR="00AD64B5" w:rsidRPr="00A019F7" w:rsidRDefault="00D262E7" w:rsidP="003B39D9">
      <w:pPr>
        <w:pStyle w:val="Body"/>
        <w:tabs>
          <w:tab w:val="clear" w:pos="2520"/>
        </w:tabs>
        <w:ind w:left="0" w:firstLine="0"/>
        <w:jc w:val="both"/>
        <w:rPr>
          <w:rFonts w:ascii="Times New Roman" w:hAnsi="Times New Roman"/>
          <w:sz w:val="24"/>
          <w:szCs w:val="24"/>
        </w:rPr>
      </w:pPr>
      <w:r w:rsidRPr="00A019F7">
        <w:rPr>
          <w:rFonts w:ascii="Times New Roman" w:hAnsi="Times New Roman"/>
          <w:sz w:val="24"/>
          <w:szCs w:val="24"/>
        </w:rPr>
        <w:t xml:space="preserve">Fatigue cumulative usage factor (CUF) is a computed parameter suitable for evaluating fatigue damage in components subjected to fluctuating stresses. </w:t>
      </w:r>
      <w:r w:rsidR="00AD64B5" w:rsidRPr="00A019F7">
        <w:rPr>
          <w:rFonts w:ascii="Times New Roman" w:hAnsi="Times New Roman"/>
          <w:sz w:val="24"/>
          <w:szCs w:val="24"/>
        </w:rPr>
        <w:t xml:space="preserve">As a design limit for fatigue, a CUF of 1.0 is </w:t>
      </w:r>
      <w:r w:rsidR="002A1A93" w:rsidRPr="00A019F7">
        <w:rPr>
          <w:rFonts w:ascii="Times New Roman" w:hAnsi="Times New Roman"/>
          <w:sz w:val="24"/>
          <w:szCs w:val="24"/>
        </w:rPr>
        <w:t xml:space="preserve">generally </w:t>
      </w:r>
      <w:r w:rsidR="00AD64B5" w:rsidRPr="00A019F7">
        <w:rPr>
          <w:rFonts w:ascii="Times New Roman" w:hAnsi="Times New Roman"/>
          <w:sz w:val="24"/>
          <w:szCs w:val="24"/>
        </w:rPr>
        <w:t>taken</w:t>
      </w:r>
      <w:r w:rsidRPr="00A019F7">
        <w:rPr>
          <w:rFonts w:ascii="Times New Roman" w:hAnsi="Times New Roman"/>
          <w:sz w:val="24"/>
          <w:szCs w:val="24"/>
        </w:rPr>
        <w:t>. Different CUF limits may also be used for other purposes, such as to determine locations which do not need to be considered for high energy line break mitigation</w:t>
      </w:r>
      <w:r w:rsidR="005A6DAC">
        <w:rPr>
          <w:rFonts w:ascii="Times New Roman" w:hAnsi="Times New Roman"/>
          <w:sz w:val="24"/>
          <w:szCs w:val="24"/>
        </w:rPr>
        <w:t>.</w:t>
      </w:r>
    </w:p>
    <w:p w14:paraId="316DDEA6" w14:textId="77777777" w:rsidR="00D262E7" w:rsidRPr="00A019F7" w:rsidRDefault="00D262E7" w:rsidP="003B39D9">
      <w:pPr>
        <w:pStyle w:val="Body"/>
        <w:tabs>
          <w:tab w:val="clear" w:pos="2520"/>
        </w:tabs>
        <w:ind w:left="0" w:firstLine="0"/>
        <w:jc w:val="both"/>
        <w:rPr>
          <w:rFonts w:ascii="Times New Roman" w:hAnsi="Times New Roman"/>
          <w:sz w:val="24"/>
          <w:szCs w:val="24"/>
        </w:rPr>
      </w:pPr>
      <w:r w:rsidRPr="00A019F7">
        <w:rPr>
          <w:rFonts w:ascii="Times New Roman" w:hAnsi="Times New Roman"/>
          <w:sz w:val="24"/>
          <w:szCs w:val="24"/>
        </w:rPr>
        <w:t xml:space="preserve">In order not to exceed the design limit on fatigue usage, this </w:t>
      </w:r>
      <w:proofErr w:type="spellStart"/>
      <w:r w:rsidRPr="00A019F7">
        <w:rPr>
          <w:rFonts w:ascii="Times New Roman" w:hAnsi="Times New Roman"/>
          <w:sz w:val="24"/>
          <w:szCs w:val="24"/>
        </w:rPr>
        <w:t>programme</w:t>
      </w:r>
      <w:proofErr w:type="spellEnd"/>
      <w:r w:rsidRPr="00A019F7">
        <w:rPr>
          <w:rFonts w:ascii="Times New Roman" w:hAnsi="Times New Roman"/>
          <w:sz w:val="24"/>
          <w:szCs w:val="24"/>
        </w:rPr>
        <w:t xml:space="preserve"> monitors and tracks the number of critical thermal and pressure transients for the selected components. Critical transients are those that cause cyclic strain, which are significant contributors to the fatigue usage factor. In the case of monitoring anticipated transients (e.g. from plant design basis), the </w:t>
      </w:r>
      <w:proofErr w:type="spellStart"/>
      <w:r w:rsidRPr="00A019F7">
        <w:rPr>
          <w:rFonts w:ascii="Times New Roman" w:hAnsi="Times New Roman"/>
          <w:sz w:val="24"/>
          <w:szCs w:val="24"/>
        </w:rPr>
        <w:t>programme</w:t>
      </w:r>
      <w:proofErr w:type="spellEnd"/>
      <w:r w:rsidRPr="00A019F7">
        <w:rPr>
          <w:rFonts w:ascii="Times New Roman" w:hAnsi="Times New Roman"/>
          <w:sz w:val="24"/>
          <w:szCs w:val="24"/>
        </w:rPr>
        <w:t xml:space="preserve"> also verifies that the severity of each monitored transient is bounded by the design transient definition for which it is classified.</w:t>
      </w:r>
      <w:r w:rsidR="000C3D95">
        <w:rPr>
          <w:rFonts w:ascii="Times New Roman" w:hAnsi="Times New Roman"/>
          <w:sz w:val="24"/>
          <w:szCs w:val="24"/>
        </w:rPr>
        <w:t xml:space="preserve"> In some countries, monitoring of the transients in the plant’s current licensing basis is a </w:t>
      </w:r>
      <w:r w:rsidR="003B7630">
        <w:rPr>
          <w:rFonts w:ascii="Times New Roman" w:hAnsi="Times New Roman"/>
          <w:sz w:val="24"/>
          <w:szCs w:val="24"/>
        </w:rPr>
        <w:t>requirement of national regulations (e.g.</w:t>
      </w:r>
      <w:r w:rsidR="00AC0F87">
        <w:rPr>
          <w:rFonts w:ascii="Times New Roman" w:hAnsi="Times New Roman"/>
          <w:sz w:val="24"/>
          <w:szCs w:val="24"/>
        </w:rPr>
        <w:t>,</w:t>
      </w:r>
      <w:r w:rsidR="003B7630">
        <w:rPr>
          <w:rFonts w:ascii="Times New Roman" w:hAnsi="Times New Roman"/>
          <w:sz w:val="24"/>
          <w:szCs w:val="24"/>
        </w:rPr>
        <w:t xml:space="preserve"> </w:t>
      </w:r>
      <w:r w:rsidR="00EF4DAC" w:rsidRPr="006A124B">
        <w:rPr>
          <w:rFonts w:ascii="Times New Roman" w:hAnsi="Times New Roman"/>
          <w:sz w:val="24"/>
          <w:szCs w:val="24"/>
        </w:rPr>
        <w:t>[</w:t>
      </w:r>
      <w:r w:rsidR="00B046B3">
        <w:rPr>
          <w:rFonts w:ascii="Times New Roman" w:hAnsi="Times New Roman"/>
          <w:sz w:val="24"/>
          <w:szCs w:val="24"/>
        </w:rPr>
        <w:t>10</w:t>
      </w:r>
      <w:r w:rsidR="003B7630" w:rsidRPr="00EF4DAC">
        <w:rPr>
          <w:rFonts w:ascii="Times New Roman" w:hAnsi="Times New Roman"/>
          <w:sz w:val="24"/>
          <w:szCs w:val="24"/>
        </w:rPr>
        <w:t>]</w:t>
      </w:r>
      <w:r w:rsidR="003B7630">
        <w:rPr>
          <w:rFonts w:ascii="Times New Roman" w:hAnsi="Times New Roman"/>
          <w:sz w:val="24"/>
          <w:szCs w:val="24"/>
        </w:rPr>
        <w:t xml:space="preserve">) </w:t>
      </w:r>
      <w:r w:rsidR="000E5C1C">
        <w:rPr>
          <w:rFonts w:ascii="Times New Roman" w:hAnsi="Times New Roman"/>
          <w:sz w:val="24"/>
          <w:szCs w:val="24"/>
        </w:rPr>
        <w:t>or national standards (e.g.</w:t>
      </w:r>
      <w:r w:rsidR="00AC0F87">
        <w:rPr>
          <w:rFonts w:ascii="Times New Roman" w:hAnsi="Times New Roman"/>
          <w:sz w:val="24"/>
          <w:szCs w:val="24"/>
        </w:rPr>
        <w:t>,</w:t>
      </w:r>
      <w:r w:rsidR="000E5C1C">
        <w:rPr>
          <w:rFonts w:ascii="Times New Roman" w:hAnsi="Times New Roman"/>
          <w:sz w:val="24"/>
          <w:szCs w:val="24"/>
        </w:rPr>
        <w:t xml:space="preserve"> [</w:t>
      </w:r>
      <w:r w:rsidR="00B046B3">
        <w:rPr>
          <w:rFonts w:ascii="Times New Roman" w:hAnsi="Times New Roman"/>
          <w:sz w:val="24"/>
          <w:szCs w:val="24"/>
        </w:rPr>
        <w:t>11</w:t>
      </w:r>
      <w:r w:rsidR="00AC0F87">
        <w:rPr>
          <w:rFonts w:ascii="Times New Roman" w:hAnsi="Times New Roman"/>
          <w:sz w:val="24"/>
          <w:szCs w:val="24"/>
        </w:rPr>
        <w:t xml:space="preserve">, </w:t>
      </w:r>
      <w:r w:rsidR="00B046B3">
        <w:rPr>
          <w:rFonts w:ascii="Times New Roman" w:hAnsi="Times New Roman"/>
          <w:sz w:val="24"/>
          <w:szCs w:val="24"/>
        </w:rPr>
        <w:t>12</w:t>
      </w:r>
      <w:r w:rsidR="000E5C1C">
        <w:rPr>
          <w:rFonts w:ascii="Times New Roman" w:hAnsi="Times New Roman"/>
          <w:sz w:val="24"/>
          <w:szCs w:val="24"/>
        </w:rPr>
        <w:t xml:space="preserve">]) </w:t>
      </w:r>
      <w:r w:rsidR="003B7630">
        <w:rPr>
          <w:rFonts w:ascii="Times New Roman" w:hAnsi="Times New Roman"/>
          <w:sz w:val="24"/>
          <w:szCs w:val="24"/>
        </w:rPr>
        <w:t xml:space="preserve">or plant technical specifications </w:t>
      </w:r>
      <w:r w:rsidR="000C3D95">
        <w:rPr>
          <w:rFonts w:ascii="Times New Roman" w:hAnsi="Times New Roman"/>
          <w:sz w:val="24"/>
          <w:szCs w:val="24"/>
        </w:rPr>
        <w:t>(e.g.</w:t>
      </w:r>
      <w:r w:rsidR="00AC0F87">
        <w:rPr>
          <w:rFonts w:ascii="Times New Roman" w:hAnsi="Times New Roman"/>
          <w:sz w:val="24"/>
          <w:szCs w:val="24"/>
        </w:rPr>
        <w:t>,</w:t>
      </w:r>
      <w:r w:rsidR="000C3D95">
        <w:rPr>
          <w:rFonts w:ascii="Times New Roman" w:hAnsi="Times New Roman"/>
          <w:sz w:val="24"/>
          <w:szCs w:val="24"/>
        </w:rPr>
        <w:t xml:space="preserve"> </w:t>
      </w:r>
      <w:r w:rsidR="00E20264">
        <w:rPr>
          <w:rFonts w:ascii="Times New Roman" w:hAnsi="Times New Roman"/>
          <w:sz w:val="24"/>
          <w:szCs w:val="24"/>
        </w:rPr>
        <w:t>[</w:t>
      </w:r>
      <w:r w:rsidR="000E5C1C">
        <w:rPr>
          <w:rFonts w:ascii="Times New Roman" w:hAnsi="Times New Roman"/>
          <w:sz w:val="24"/>
          <w:szCs w:val="24"/>
        </w:rPr>
        <w:t>1</w:t>
      </w:r>
      <w:r w:rsidR="00B046B3">
        <w:rPr>
          <w:rFonts w:ascii="Times New Roman" w:hAnsi="Times New Roman"/>
          <w:sz w:val="24"/>
          <w:szCs w:val="24"/>
        </w:rPr>
        <w:t>3</w:t>
      </w:r>
      <w:r w:rsidR="00EF4DAC">
        <w:rPr>
          <w:rFonts w:ascii="Times New Roman" w:hAnsi="Times New Roman"/>
          <w:sz w:val="24"/>
          <w:szCs w:val="24"/>
        </w:rPr>
        <w:t>]</w:t>
      </w:r>
      <w:r w:rsidR="000C3D95">
        <w:rPr>
          <w:rFonts w:ascii="Times New Roman" w:hAnsi="Times New Roman"/>
          <w:sz w:val="24"/>
          <w:szCs w:val="24"/>
        </w:rPr>
        <w:t>).</w:t>
      </w:r>
    </w:p>
    <w:p w14:paraId="5F03567A" w14:textId="25EA5A2E" w:rsidR="005E6D1B" w:rsidRPr="00471359" w:rsidRDefault="00D262E7" w:rsidP="003B39D9">
      <w:pPr>
        <w:pStyle w:val="Body"/>
        <w:tabs>
          <w:tab w:val="clear" w:pos="2520"/>
        </w:tabs>
        <w:ind w:left="0" w:firstLine="0"/>
        <w:jc w:val="both"/>
        <w:rPr>
          <w:rFonts w:ascii="Times New Roman" w:hAnsi="Times New Roman"/>
          <w:color w:val="FF0000"/>
          <w:sz w:val="24"/>
          <w:szCs w:val="24"/>
        </w:rPr>
      </w:pPr>
      <w:r w:rsidRPr="00471359">
        <w:rPr>
          <w:rFonts w:ascii="Times New Roman" w:hAnsi="Times New Roman"/>
          <w:color w:val="FF0000"/>
          <w:sz w:val="24"/>
          <w:szCs w:val="24"/>
        </w:rPr>
        <w:t xml:space="preserve">The fatigue evaluation process may identify threshold values for the CUF above which corrective actions (changes in operating procedures, </w:t>
      </w:r>
      <w:r w:rsidR="001D4C6F" w:rsidRPr="00471359">
        <w:rPr>
          <w:rFonts w:ascii="Times New Roman" w:hAnsi="Times New Roman"/>
          <w:color w:val="FF0000"/>
          <w:sz w:val="24"/>
          <w:szCs w:val="24"/>
        </w:rPr>
        <w:t xml:space="preserve">non-destructive examination, </w:t>
      </w:r>
      <w:r w:rsidRPr="00471359">
        <w:rPr>
          <w:rFonts w:ascii="Times New Roman" w:hAnsi="Times New Roman"/>
          <w:color w:val="FF0000"/>
          <w:sz w:val="24"/>
          <w:szCs w:val="24"/>
        </w:rPr>
        <w:t xml:space="preserve">component repair, replacement, or reanalysis, etc.) </w:t>
      </w:r>
      <w:r w:rsidR="001B59EC" w:rsidRPr="00471359">
        <w:rPr>
          <w:rFonts w:ascii="Times New Roman" w:hAnsi="Times New Roman" w:hint="eastAsia"/>
          <w:color w:val="FF0000"/>
          <w:sz w:val="24"/>
          <w:szCs w:val="24"/>
          <w:lang w:eastAsia="ja-JP"/>
        </w:rPr>
        <w:t>are</w:t>
      </w:r>
      <w:r w:rsidRPr="00471359">
        <w:rPr>
          <w:rFonts w:ascii="Times New Roman" w:hAnsi="Times New Roman"/>
          <w:color w:val="FF0000"/>
          <w:sz w:val="24"/>
          <w:szCs w:val="24"/>
        </w:rPr>
        <w:t xml:space="preserve"> considered prior to the CUF exceeding the design limit.</w:t>
      </w:r>
    </w:p>
    <w:p w14:paraId="1E196DCC" w14:textId="77777777" w:rsidR="005E6D1B" w:rsidRPr="00A019F7" w:rsidRDefault="005E6D1B" w:rsidP="003B39D9">
      <w:pPr>
        <w:pStyle w:val="Body"/>
        <w:tabs>
          <w:tab w:val="clear" w:pos="2520"/>
        </w:tabs>
        <w:ind w:left="0" w:firstLine="0"/>
        <w:jc w:val="both"/>
        <w:rPr>
          <w:rFonts w:ascii="Times New Roman" w:hAnsi="Times New Roman"/>
          <w:sz w:val="24"/>
          <w:szCs w:val="24"/>
        </w:rPr>
      </w:pPr>
      <w:r>
        <w:rPr>
          <w:rFonts w:ascii="Times New Roman" w:hAnsi="Times New Roman"/>
          <w:sz w:val="24"/>
          <w:szCs w:val="24"/>
        </w:rPr>
        <w:t>The evaluation of low cycle fatigue is addressed in TLAA</w:t>
      </w:r>
      <w:r w:rsidR="00A70D35">
        <w:rPr>
          <w:rFonts w:ascii="Times New Roman" w:hAnsi="Times New Roman"/>
          <w:sz w:val="24"/>
          <w:szCs w:val="24"/>
        </w:rPr>
        <w:t xml:space="preserve"> </w:t>
      </w:r>
      <w:r>
        <w:rPr>
          <w:rFonts w:ascii="Times New Roman" w:hAnsi="Times New Roman"/>
          <w:sz w:val="24"/>
          <w:szCs w:val="24"/>
        </w:rPr>
        <w:t>101.</w:t>
      </w:r>
    </w:p>
    <w:p w14:paraId="5095FF07" w14:textId="77777777" w:rsidR="00D262E7" w:rsidRPr="00A019F7" w:rsidRDefault="00D262E7" w:rsidP="003B39D9">
      <w:pPr>
        <w:pStyle w:val="Body"/>
        <w:tabs>
          <w:tab w:val="clear" w:pos="2520"/>
        </w:tabs>
        <w:ind w:left="0" w:firstLine="0"/>
        <w:jc w:val="both"/>
        <w:rPr>
          <w:rFonts w:ascii="Times New Roman" w:hAnsi="Times New Roman"/>
          <w:sz w:val="24"/>
          <w:szCs w:val="24"/>
        </w:rPr>
      </w:pPr>
      <w:r w:rsidRPr="00A019F7">
        <w:rPr>
          <w:rFonts w:ascii="Times New Roman" w:hAnsi="Times New Roman"/>
          <w:sz w:val="24"/>
          <w:szCs w:val="24"/>
        </w:rPr>
        <w:t xml:space="preserve">The procedures for fatigue monitoring combine transient logging and fatigue usage monitoring. One approach for this monitoring could be where the plant events are recognized by a set of rules which correlates data (temperature, pressure, flow rate, valve status, electric signals, etc.) collected from plant process computers or from additional instrumentation. Several computer </w:t>
      </w:r>
      <w:proofErr w:type="spellStart"/>
      <w:r w:rsidRPr="00A019F7">
        <w:rPr>
          <w:rFonts w:ascii="Times New Roman" w:hAnsi="Times New Roman"/>
          <w:sz w:val="24"/>
          <w:szCs w:val="24"/>
        </w:rPr>
        <w:t>program</w:t>
      </w:r>
      <w:r w:rsidR="001B59EC">
        <w:rPr>
          <w:rFonts w:ascii="Times New Roman" w:hAnsi="Times New Roman" w:hint="eastAsia"/>
          <w:sz w:val="24"/>
          <w:szCs w:val="24"/>
          <w:lang w:eastAsia="ja-JP"/>
        </w:rPr>
        <w:t>me</w:t>
      </w:r>
      <w:r w:rsidRPr="00A019F7">
        <w:rPr>
          <w:rFonts w:ascii="Times New Roman" w:hAnsi="Times New Roman"/>
          <w:sz w:val="24"/>
          <w:szCs w:val="24"/>
        </w:rPr>
        <w:t>s</w:t>
      </w:r>
      <w:proofErr w:type="spellEnd"/>
      <w:r w:rsidRPr="00A019F7">
        <w:rPr>
          <w:rFonts w:ascii="Times New Roman" w:hAnsi="Times New Roman"/>
          <w:sz w:val="24"/>
          <w:szCs w:val="24"/>
        </w:rPr>
        <w:t xml:space="preserve"> for such transient logging and fatigue usage monitoring are available and can be combined to improve the efficiency of the </w:t>
      </w:r>
      <w:proofErr w:type="spellStart"/>
      <w:r w:rsidRPr="00A019F7">
        <w:rPr>
          <w:rFonts w:ascii="Times New Roman" w:hAnsi="Times New Roman"/>
          <w:sz w:val="24"/>
          <w:szCs w:val="24"/>
        </w:rPr>
        <w:t>programme</w:t>
      </w:r>
      <w:proofErr w:type="spellEnd"/>
      <w:r w:rsidRPr="00A019F7">
        <w:rPr>
          <w:rFonts w:ascii="Times New Roman" w:hAnsi="Times New Roman"/>
          <w:sz w:val="24"/>
          <w:szCs w:val="24"/>
        </w:rPr>
        <w:t>.</w:t>
      </w:r>
    </w:p>
    <w:p w14:paraId="25659A2B" w14:textId="77777777" w:rsidR="005E6D1B" w:rsidRPr="00A019F7" w:rsidRDefault="00D262E7" w:rsidP="003B39D9">
      <w:pPr>
        <w:pStyle w:val="Body"/>
        <w:tabs>
          <w:tab w:val="clear" w:pos="2520"/>
        </w:tabs>
        <w:ind w:left="0" w:firstLine="0"/>
        <w:jc w:val="both"/>
        <w:rPr>
          <w:rFonts w:ascii="Times New Roman" w:hAnsi="Times New Roman"/>
          <w:sz w:val="24"/>
          <w:szCs w:val="24"/>
          <w:u w:val="single"/>
        </w:rPr>
      </w:pPr>
      <w:r w:rsidRPr="00A019F7">
        <w:rPr>
          <w:rFonts w:ascii="Times New Roman" w:hAnsi="Times New Roman"/>
          <w:sz w:val="24"/>
          <w:szCs w:val="24"/>
        </w:rPr>
        <w:t xml:space="preserve">This ageing management </w:t>
      </w:r>
      <w:proofErr w:type="spellStart"/>
      <w:r w:rsidRPr="00A019F7">
        <w:rPr>
          <w:rFonts w:ascii="Times New Roman" w:hAnsi="Times New Roman"/>
          <w:sz w:val="24"/>
          <w:szCs w:val="24"/>
        </w:rPr>
        <w:t>programme</w:t>
      </w:r>
      <w:proofErr w:type="spellEnd"/>
      <w:r w:rsidRPr="00A019F7">
        <w:rPr>
          <w:rFonts w:ascii="Times New Roman" w:hAnsi="Times New Roman"/>
          <w:sz w:val="24"/>
          <w:szCs w:val="24"/>
        </w:rPr>
        <w:t xml:space="preserve"> may address the effects of the reactor coolant environment on component fatigue life (to determine an environmentally-adjusted cumulative usage factor, or </w:t>
      </w:r>
      <w:proofErr w:type="spellStart"/>
      <w:r w:rsidRPr="00A019F7">
        <w:rPr>
          <w:rFonts w:ascii="Times New Roman" w:hAnsi="Times New Roman"/>
          <w:sz w:val="24"/>
          <w:szCs w:val="24"/>
        </w:rPr>
        <w:t>CUF</w:t>
      </w:r>
      <w:r w:rsidRPr="00A019F7">
        <w:rPr>
          <w:rFonts w:ascii="Times New Roman" w:hAnsi="Times New Roman"/>
          <w:sz w:val="24"/>
          <w:szCs w:val="24"/>
          <w:vertAlign w:val="subscript"/>
        </w:rPr>
        <w:t>en</w:t>
      </w:r>
      <w:proofErr w:type="spellEnd"/>
      <w:r w:rsidRPr="00A019F7">
        <w:rPr>
          <w:rFonts w:ascii="Times New Roman" w:hAnsi="Times New Roman"/>
          <w:sz w:val="24"/>
          <w:szCs w:val="24"/>
        </w:rPr>
        <w:t>) by assessing the impact of the reactor coolant environment on a set of sample critical components for its plant-specific configuration</w:t>
      </w:r>
      <w:r w:rsidR="002043A3">
        <w:rPr>
          <w:rFonts w:ascii="Times New Roman" w:hAnsi="Times New Roman"/>
          <w:sz w:val="24"/>
          <w:szCs w:val="24"/>
        </w:rPr>
        <w:t xml:space="preserve"> </w:t>
      </w:r>
      <w:r w:rsidR="002043A3" w:rsidRPr="006A124B">
        <w:rPr>
          <w:rFonts w:ascii="Times New Roman" w:hAnsi="Times New Roman"/>
          <w:sz w:val="24"/>
          <w:szCs w:val="24"/>
        </w:rPr>
        <w:t>[</w:t>
      </w:r>
      <w:r w:rsidR="00B046B3">
        <w:rPr>
          <w:rFonts w:ascii="Times New Roman" w:hAnsi="Times New Roman"/>
          <w:sz w:val="24"/>
          <w:szCs w:val="24"/>
        </w:rPr>
        <w:t>1</w:t>
      </w:r>
      <w:r w:rsidR="001D6367">
        <w:rPr>
          <w:rFonts w:ascii="Times New Roman" w:hAnsi="Times New Roman"/>
          <w:sz w:val="24"/>
          <w:szCs w:val="24"/>
        </w:rPr>
        <w:t>3</w:t>
      </w:r>
      <w:r w:rsidR="00B046B3">
        <w:rPr>
          <w:rFonts w:ascii="Times New Roman" w:hAnsi="Times New Roman"/>
          <w:sz w:val="24"/>
          <w:szCs w:val="24"/>
        </w:rPr>
        <w:t>-1</w:t>
      </w:r>
      <w:r w:rsidR="001D6367">
        <w:rPr>
          <w:rFonts w:ascii="Times New Roman" w:hAnsi="Times New Roman"/>
          <w:sz w:val="24"/>
          <w:szCs w:val="24"/>
        </w:rPr>
        <w:t>6</w:t>
      </w:r>
      <w:r w:rsidR="0068247F">
        <w:rPr>
          <w:rFonts w:ascii="Times New Roman" w:hAnsi="Times New Roman"/>
          <w:sz w:val="24"/>
          <w:szCs w:val="24"/>
        </w:rPr>
        <w:t>]</w:t>
      </w:r>
      <w:r w:rsidRPr="006A124B">
        <w:rPr>
          <w:rFonts w:ascii="Times New Roman" w:hAnsi="Times New Roman"/>
          <w:sz w:val="24"/>
          <w:szCs w:val="24"/>
        </w:rPr>
        <w:t>.</w:t>
      </w:r>
      <w:r w:rsidR="00FE7B17">
        <w:rPr>
          <w:rFonts w:ascii="Times New Roman" w:hAnsi="Times New Roman"/>
          <w:sz w:val="24"/>
          <w:szCs w:val="24"/>
        </w:rPr>
        <w:t xml:space="preserve"> An overview of approaches </w:t>
      </w:r>
      <w:r w:rsidR="0068247F">
        <w:rPr>
          <w:rFonts w:ascii="Times New Roman" w:hAnsi="Times New Roman"/>
          <w:sz w:val="24"/>
          <w:szCs w:val="24"/>
        </w:rPr>
        <w:t xml:space="preserve">used </w:t>
      </w:r>
      <w:r w:rsidR="00FE7B17">
        <w:rPr>
          <w:rFonts w:ascii="Times New Roman" w:hAnsi="Times New Roman"/>
          <w:sz w:val="24"/>
          <w:szCs w:val="24"/>
        </w:rPr>
        <w:t xml:space="preserve">by different countries (US, France, Finland, Japan and Germany) </w:t>
      </w:r>
      <w:r w:rsidR="00A21E1D">
        <w:rPr>
          <w:rFonts w:ascii="Times New Roman" w:hAnsi="Times New Roman"/>
          <w:sz w:val="24"/>
          <w:szCs w:val="24"/>
        </w:rPr>
        <w:t xml:space="preserve">to account for environmental effects on fatigue </w:t>
      </w:r>
      <w:r w:rsidR="00FE7B17">
        <w:rPr>
          <w:rFonts w:ascii="Times New Roman" w:hAnsi="Times New Roman"/>
          <w:sz w:val="24"/>
          <w:szCs w:val="24"/>
        </w:rPr>
        <w:t>is given in [</w:t>
      </w:r>
      <w:r w:rsidR="00CA7229">
        <w:rPr>
          <w:rFonts w:ascii="Times New Roman" w:hAnsi="Times New Roman"/>
          <w:sz w:val="24"/>
          <w:szCs w:val="24"/>
        </w:rPr>
        <w:t>1</w:t>
      </w:r>
      <w:r w:rsidR="001D6367">
        <w:rPr>
          <w:rFonts w:ascii="Times New Roman" w:hAnsi="Times New Roman"/>
          <w:sz w:val="24"/>
          <w:szCs w:val="24"/>
        </w:rPr>
        <w:t>7</w:t>
      </w:r>
      <w:r w:rsidR="00FE7B17">
        <w:rPr>
          <w:rFonts w:ascii="Times New Roman" w:hAnsi="Times New Roman"/>
          <w:sz w:val="24"/>
          <w:szCs w:val="24"/>
        </w:rPr>
        <w:t xml:space="preserve">]. </w:t>
      </w:r>
      <w:r w:rsidR="005E6D1B" w:rsidRPr="006A124B">
        <w:rPr>
          <w:rFonts w:ascii="Times New Roman" w:hAnsi="Times New Roman"/>
          <w:sz w:val="24"/>
          <w:szCs w:val="24"/>
        </w:rPr>
        <w:t xml:space="preserve">The evaluation of </w:t>
      </w:r>
      <w:r w:rsidR="00AD654B" w:rsidRPr="006A124B">
        <w:rPr>
          <w:rFonts w:ascii="Times New Roman" w:hAnsi="Times New Roman"/>
          <w:sz w:val="24"/>
          <w:szCs w:val="24"/>
        </w:rPr>
        <w:t xml:space="preserve">environmentally assisted fatigue </w:t>
      </w:r>
      <w:r w:rsidR="005E6D1B" w:rsidRPr="006A124B">
        <w:rPr>
          <w:rFonts w:ascii="Times New Roman" w:hAnsi="Times New Roman"/>
          <w:sz w:val="24"/>
          <w:szCs w:val="24"/>
        </w:rPr>
        <w:t>is addressed</w:t>
      </w:r>
      <w:r w:rsidR="00B84E7B" w:rsidRPr="006A124B">
        <w:rPr>
          <w:rFonts w:ascii="Times New Roman" w:hAnsi="Times New Roman"/>
          <w:sz w:val="24"/>
          <w:szCs w:val="24"/>
        </w:rPr>
        <w:t xml:space="preserve"> in TLAA</w:t>
      </w:r>
      <w:r w:rsidR="00A70D35">
        <w:rPr>
          <w:rFonts w:ascii="Times New Roman" w:hAnsi="Times New Roman"/>
          <w:sz w:val="24"/>
          <w:szCs w:val="24"/>
        </w:rPr>
        <w:t xml:space="preserve"> </w:t>
      </w:r>
      <w:r w:rsidR="00B84E7B" w:rsidRPr="006A124B">
        <w:rPr>
          <w:rFonts w:ascii="Times New Roman" w:hAnsi="Times New Roman"/>
          <w:sz w:val="24"/>
          <w:szCs w:val="24"/>
        </w:rPr>
        <w:t>106</w:t>
      </w:r>
      <w:r w:rsidR="005E6D1B" w:rsidRPr="006A124B">
        <w:rPr>
          <w:rFonts w:ascii="Times New Roman" w:hAnsi="Times New Roman"/>
          <w:sz w:val="24"/>
          <w:szCs w:val="24"/>
        </w:rPr>
        <w:t>.</w:t>
      </w:r>
    </w:p>
    <w:p w14:paraId="45D8294E" w14:textId="77777777" w:rsidR="00D262E7" w:rsidRPr="00A019F7" w:rsidRDefault="00D262E7" w:rsidP="003B39D9">
      <w:pPr>
        <w:pStyle w:val="Body"/>
        <w:tabs>
          <w:tab w:val="clear" w:pos="2520"/>
        </w:tabs>
        <w:ind w:left="0" w:firstLine="0"/>
        <w:jc w:val="both"/>
        <w:rPr>
          <w:rFonts w:ascii="Times New Roman" w:hAnsi="Times New Roman"/>
          <w:sz w:val="24"/>
          <w:szCs w:val="24"/>
        </w:rPr>
      </w:pPr>
      <w:r w:rsidRPr="00A019F7">
        <w:rPr>
          <w:rFonts w:ascii="Times New Roman" w:hAnsi="Times New Roman"/>
          <w:sz w:val="24"/>
          <w:szCs w:val="24"/>
        </w:rPr>
        <w:t xml:space="preserve">Periodic reviews of the </w:t>
      </w:r>
      <w:proofErr w:type="spellStart"/>
      <w:r w:rsidRPr="00A019F7">
        <w:rPr>
          <w:rFonts w:ascii="Times New Roman" w:hAnsi="Times New Roman"/>
          <w:sz w:val="24"/>
          <w:szCs w:val="24"/>
        </w:rPr>
        <w:t>programme</w:t>
      </w:r>
      <w:proofErr w:type="spellEnd"/>
      <w:r w:rsidRPr="00A019F7">
        <w:rPr>
          <w:rFonts w:ascii="Times New Roman" w:hAnsi="Times New Roman"/>
          <w:sz w:val="24"/>
          <w:szCs w:val="24"/>
        </w:rPr>
        <w:t xml:space="preserve"> may lead to the inclusion or suppression of transients or locations to be considered in fatigue evaluations. Justifications </w:t>
      </w:r>
      <w:r w:rsidR="001B59EC">
        <w:rPr>
          <w:rFonts w:ascii="Times New Roman" w:hAnsi="Times New Roman" w:hint="eastAsia"/>
          <w:sz w:val="24"/>
          <w:szCs w:val="24"/>
          <w:lang w:eastAsia="ja-JP"/>
        </w:rPr>
        <w:t>are</w:t>
      </w:r>
      <w:r w:rsidRPr="00A019F7">
        <w:rPr>
          <w:rFonts w:ascii="Times New Roman" w:hAnsi="Times New Roman"/>
          <w:sz w:val="24"/>
          <w:szCs w:val="24"/>
        </w:rPr>
        <w:t xml:space="preserve"> documented and readily available to applicable regulatory review.</w:t>
      </w:r>
    </w:p>
    <w:p w14:paraId="76518004" w14:textId="77777777" w:rsidR="003B39D9" w:rsidRDefault="003B39D9" w:rsidP="003B39D9">
      <w:pPr>
        <w:pStyle w:val="Heading3"/>
        <w:spacing w:before="120"/>
        <w:rPr>
          <w:rFonts w:ascii="Times New Roman" w:hAnsi="Times New Roman"/>
          <w:sz w:val="24"/>
          <w:szCs w:val="24"/>
        </w:rPr>
      </w:pPr>
      <w:bookmarkStart w:id="1" w:name="_Toc88877560"/>
    </w:p>
    <w:p w14:paraId="10B56C55" w14:textId="1E427364" w:rsidR="00D262E7" w:rsidRPr="00A019F7" w:rsidRDefault="00D262E7" w:rsidP="003B39D9">
      <w:pPr>
        <w:pStyle w:val="Heading3"/>
        <w:spacing w:before="120"/>
        <w:rPr>
          <w:rFonts w:ascii="Times New Roman" w:hAnsi="Times New Roman"/>
          <w:sz w:val="24"/>
          <w:szCs w:val="24"/>
        </w:rPr>
      </w:pPr>
      <w:r w:rsidRPr="00A019F7">
        <w:rPr>
          <w:rFonts w:ascii="Times New Roman" w:hAnsi="Times New Roman"/>
          <w:sz w:val="24"/>
          <w:szCs w:val="24"/>
        </w:rPr>
        <w:t>Evaluation and Technical Basis</w:t>
      </w:r>
      <w:bookmarkEnd w:id="1"/>
    </w:p>
    <w:p w14:paraId="1B09A7F0" w14:textId="77777777" w:rsidR="00D262E7" w:rsidRPr="00A019F7" w:rsidRDefault="00D262E7" w:rsidP="003B39D9">
      <w:pPr>
        <w:pStyle w:val="BodyNumbered"/>
        <w:numPr>
          <w:ilvl w:val="0"/>
          <w:numId w:val="7"/>
        </w:numPr>
        <w:tabs>
          <w:tab w:val="clear" w:pos="360"/>
          <w:tab w:val="num" w:pos="-2160"/>
          <w:tab w:val="left" w:pos="426"/>
        </w:tabs>
        <w:ind w:left="0" w:firstLine="0"/>
        <w:rPr>
          <w:rFonts w:ascii="Times New Roman" w:hAnsi="Times New Roman"/>
          <w:sz w:val="24"/>
          <w:szCs w:val="24"/>
        </w:rPr>
      </w:pPr>
      <w:r w:rsidRPr="00A019F7">
        <w:rPr>
          <w:rFonts w:ascii="Times New Roman" w:hAnsi="Times New Roman"/>
          <w:b/>
          <w:i/>
          <w:sz w:val="24"/>
          <w:szCs w:val="24"/>
        </w:rPr>
        <w:t xml:space="preserve">Scope of the ageing management </w:t>
      </w:r>
      <w:proofErr w:type="spellStart"/>
      <w:r w:rsidRPr="00A019F7">
        <w:rPr>
          <w:rFonts w:ascii="Times New Roman" w:hAnsi="Times New Roman"/>
          <w:b/>
          <w:i/>
          <w:sz w:val="24"/>
          <w:szCs w:val="24"/>
        </w:rPr>
        <w:t>programme</w:t>
      </w:r>
      <w:proofErr w:type="spellEnd"/>
      <w:r w:rsidR="00C65001" w:rsidRPr="00A019F7">
        <w:rPr>
          <w:rFonts w:ascii="Times New Roman" w:hAnsi="Times New Roman"/>
          <w:b/>
          <w:i/>
          <w:sz w:val="24"/>
          <w:szCs w:val="24"/>
        </w:rPr>
        <w:t xml:space="preserve"> based on understanding ageing</w:t>
      </w:r>
      <w:r w:rsidR="004D08D4">
        <w:rPr>
          <w:rFonts w:ascii="Times New Roman" w:hAnsi="Times New Roman"/>
          <w:b/>
          <w:i/>
          <w:sz w:val="24"/>
          <w:szCs w:val="24"/>
        </w:rPr>
        <w:t>:</w:t>
      </w:r>
    </w:p>
    <w:p w14:paraId="5C7C585C" w14:textId="77777777" w:rsidR="00D262E7" w:rsidRPr="00471359" w:rsidRDefault="00D262E7" w:rsidP="003B39D9">
      <w:pPr>
        <w:pStyle w:val="Body"/>
        <w:tabs>
          <w:tab w:val="clear" w:pos="2520"/>
        </w:tabs>
        <w:ind w:left="0" w:firstLine="0"/>
        <w:jc w:val="both"/>
        <w:rPr>
          <w:rFonts w:ascii="Times New Roman" w:hAnsi="Times New Roman"/>
          <w:color w:val="FF0000"/>
          <w:sz w:val="24"/>
          <w:szCs w:val="24"/>
        </w:rPr>
      </w:pPr>
      <w:r w:rsidRPr="00471359">
        <w:rPr>
          <w:rFonts w:ascii="Times New Roman" w:hAnsi="Times New Roman"/>
          <w:color w:val="FF0000"/>
          <w:sz w:val="24"/>
          <w:szCs w:val="24"/>
        </w:rPr>
        <w:lastRenderedPageBreak/>
        <w:t xml:space="preserve">The scope includes those components subject to the occurrence of fluid conditions having the potential for inducing cyclic thermal </w:t>
      </w:r>
      <w:r w:rsidR="006E3B2C" w:rsidRPr="00471359">
        <w:rPr>
          <w:rFonts w:ascii="Times New Roman" w:hAnsi="Times New Roman"/>
          <w:color w:val="FF0000"/>
          <w:sz w:val="24"/>
          <w:szCs w:val="24"/>
        </w:rPr>
        <w:t xml:space="preserve">and/or pressure </w:t>
      </w:r>
      <w:r w:rsidRPr="00471359">
        <w:rPr>
          <w:rFonts w:ascii="Times New Roman" w:hAnsi="Times New Roman"/>
          <w:color w:val="FF0000"/>
          <w:sz w:val="24"/>
          <w:szCs w:val="24"/>
        </w:rPr>
        <w:t>stresses.</w:t>
      </w:r>
    </w:p>
    <w:p w14:paraId="2956A7C7" w14:textId="77777777" w:rsidR="00D262E7" w:rsidRPr="00A019F7" w:rsidRDefault="00D262E7" w:rsidP="003B39D9">
      <w:pPr>
        <w:pStyle w:val="Body"/>
        <w:tabs>
          <w:tab w:val="clear" w:pos="2520"/>
        </w:tabs>
        <w:ind w:left="0" w:firstLine="0"/>
        <w:jc w:val="both"/>
        <w:rPr>
          <w:rFonts w:ascii="Times New Roman" w:hAnsi="Times New Roman"/>
          <w:sz w:val="24"/>
          <w:szCs w:val="24"/>
        </w:rPr>
      </w:pPr>
      <w:r w:rsidRPr="00A019F7">
        <w:rPr>
          <w:rFonts w:ascii="Times New Roman" w:hAnsi="Times New Roman"/>
          <w:sz w:val="24"/>
          <w:szCs w:val="24"/>
        </w:rPr>
        <w:t xml:space="preserve">The </w:t>
      </w:r>
      <w:proofErr w:type="spellStart"/>
      <w:r w:rsidRPr="00A019F7">
        <w:rPr>
          <w:rFonts w:ascii="Times New Roman" w:hAnsi="Times New Roman"/>
          <w:sz w:val="24"/>
          <w:szCs w:val="24"/>
        </w:rPr>
        <w:t>programme</w:t>
      </w:r>
      <w:proofErr w:type="spellEnd"/>
      <w:r w:rsidRPr="00A019F7">
        <w:rPr>
          <w:rFonts w:ascii="Times New Roman" w:hAnsi="Times New Roman"/>
          <w:sz w:val="24"/>
          <w:szCs w:val="24"/>
        </w:rPr>
        <w:t xml:space="preserve"> monitors and tracks those transients for the selected locations to ensure that the fatigue cumulative usage factor remains within the allowable limit, thus minimizing fatigue damage of metal components caused by cyclic stresses.</w:t>
      </w:r>
    </w:p>
    <w:p w14:paraId="7C6F3569" w14:textId="77777777" w:rsidR="00D262E7" w:rsidRPr="00A019F7" w:rsidRDefault="00D262E7" w:rsidP="003B39D9">
      <w:pPr>
        <w:pStyle w:val="Body"/>
        <w:tabs>
          <w:tab w:val="clear" w:pos="2520"/>
        </w:tabs>
        <w:ind w:left="0" w:firstLine="0"/>
        <w:jc w:val="both"/>
        <w:rPr>
          <w:rFonts w:ascii="Times New Roman" w:hAnsi="Times New Roman"/>
          <w:sz w:val="24"/>
          <w:szCs w:val="24"/>
        </w:rPr>
      </w:pPr>
      <w:r w:rsidRPr="00A019F7">
        <w:rPr>
          <w:rFonts w:ascii="Times New Roman" w:hAnsi="Times New Roman"/>
          <w:sz w:val="24"/>
          <w:szCs w:val="24"/>
        </w:rPr>
        <w:t xml:space="preserve">The </w:t>
      </w:r>
      <w:proofErr w:type="spellStart"/>
      <w:r w:rsidRPr="00A019F7">
        <w:rPr>
          <w:rFonts w:ascii="Times New Roman" w:hAnsi="Times New Roman"/>
          <w:sz w:val="24"/>
          <w:szCs w:val="24"/>
        </w:rPr>
        <w:t>programme</w:t>
      </w:r>
      <w:proofErr w:type="spellEnd"/>
      <w:r w:rsidRPr="00A019F7">
        <w:rPr>
          <w:rFonts w:ascii="Times New Roman" w:hAnsi="Times New Roman"/>
          <w:sz w:val="24"/>
          <w:szCs w:val="24"/>
        </w:rPr>
        <w:t xml:space="preserve"> may also evaluate, for a set of sample reactor coolant system locations, fatigue usage factors that consider the effects of the reactor coolant environment. Those sample locations are </w:t>
      </w:r>
      <w:proofErr w:type="gramStart"/>
      <w:r w:rsidRPr="00A019F7">
        <w:rPr>
          <w:rFonts w:ascii="Times New Roman" w:hAnsi="Times New Roman"/>
          <w:sz w:val="24"/>
          <w:szCs w:val="24"/>
        </w:rPr>
        <w:t>plant-specific</w:t>
      </w:r>
      <w:proofErr w:type="gramEnd"/>
      <w:r w:rsidRPr="00A019F7">
        <w:rPr>
          <w:rFonts w:ascii="Times New Roman" w:hAnsi="Times New Roman"/>
          <w:sz w:val="24"/>
          <w:szCs w:val="24"/>
        </w:rPr>
        <w:t>.</w:t>
      </w:r>
    </w:p>
    <w:p w14:paraId="5160FF38" w14:textId="77777777" w:rsidR="00D262E7" w:rsidRPr="00471359" w:rsidRDefault="00D262E7" w:rsidP="003B39D9">
      <w:pPr>
        <w:pStyle w:val="Body"/>
        <w:tabs>
          <w:tab w:val="clear" w:pos="2520"/>
        </w:tabs>
        <w:ind w:left="0" w:firstLine="0"/>
        <w:rPr>
          <w:rFonts w:ascii="Times New Roman" w:hAnsi="Times New Roman"/>
          <w:color w:val="FF0000"/>
          <w:sz w:val="24"/>
          <w:szCs w:val="24"/>
        </w:rPr>
      </w:pPr>
      <w:r w:rsidRPr="00471359">
        <w:rPr>
          <w:rFonts w:ascii="Times New Roman" w:hAnsi="Times New Roman"/>
          <w:color w:val="FF0000"/>
          <w:sz w:val="24"/>
          <w:szCs w:val="24"/>
        </w:rPr>
        <w:t>Monitoring anticipated cyclic transients encompasses the following activities</w:t>
      </w:r>
      <w:r w:rsidR="002043A3" w:rsidRPr="00471359">
        <w:rPr>
          <w:rFonts w:ascii="Times New Roman" w:hAnsi="Times New Roman"/>
          <w:color w:val="FF0000"/>
          <w:sz w:val="24"/>
          <w:szCs w:val="24"/>
        </w:rPr>
        <w:t xml:space="preserve"> [</w:t>
      </w:r>
      <w:r w:rsidR="00520871" w:rsidRPr="00471359">
        <w:rPr>
          <w:rFonts w:ascii="Times New Roman" w:hAnsi="Times New Roman"/>
          <w:color w:val="FF0000"/>
          <w:sz w:val="24"/>
          <w:szCs w:val="24"/>
        </w:rPr>
        <w:t>1</w:t>
      </w:r>
      <w:r w:rsidR="001D6367" w:rsidRPr="00471359">
        <w:rPr>
          <w:rFonts w:ascii="Times New Roman" w:hAnsi="Times New Roman"/>
          <w:color w:val="FF0000"/>
          <w:sz w:val="24"/>
          <w:szCs w:val="24"/>
        </w:rPr>
        <w:t>8</w:t>
      </w:r>
      <w:r w:rsidR="002043A3" w:rsidRPr="00471359">
        <w:rPr>
          <w:rFonts w:ascii="Times New Roman" w:hAnsi="Times New Roman"/>
          <w:color w:val="FF0000"/>
          <w:sz w:val="24"/>
          <w:szCs w:val="24"/>
        </w:rPr>
        <w:t>]</w:t>
      </w:r>
      <w:r w:rsidRPr="00471359">
        <w:rPr>
          <w:rFonts w:ascii="Times New Roman" w:hAnsi="Times New Roman"/>
          <w:color w:val="FF0000"/>
          <w:sz w:val="24"/>
          <w:szCs w:val="24"/>
        </w:rPr>
        <w:t>:</w:t>
      </w:r>
    </w:p>
    <w:p w14:paraId="112BEDC6" w14:textId="5CFF0ACE" w:rsidR="00D262E7" w:rsidRPr="00471359" w:rsidRDefault="00836153" w:rsidP="00836153">
      <w:pPr>
        <w:pStyle w:val="ListParagraph"/>
        <w:numPr>
          <w:ilvl w:val="0"/>
          <w:numId w:val="12"/>
        </w:numPr>
        <w:tabs>
          <w:tab w:val="clear" w:pos="1080"/>
        </w:tabs>
        <w:spacing w:after="0"/>
        <w:ind w:left="709" w:hanging="357"/>
        <w:contextualSpacing w:val="0"/>
        <w:jc w:val="both"/>
        <w:rPr>
          <w:rFonts w:ascii="Times New Roman" w:hAnsi="Times New Roman"/>
          <w:bCs/>
          <w:color w:val="FF0000"/>
          <w:sz w:val="24"/>
          <w:szCs w:val="24"/>
          <w:lang w:val="en-GB"/>
        </w:rPr>
      </w:pPr>
      <w:r w:rsidRPr="00471359">
        <w:rPr>
          <w:rFonts w:ascii="Times New Roman" w:hAnsi="Times New Roman"/>
          <w:bCs/>
          <w:color w:val="FF0000"/>
          <w:sz w:val="24"/>
          <w:szCs w:val="24"/>
          <w:lang w:val="en-GB"/>
        </w:rPr>
        <w:t>C</w:t>
      </w:r>
      <w:r w:rsidR="00D262E7" w:rsidRPr="00471359">
        <w:rPr>
          <w:rFonts w:ascii="Times New Roman" w:hAnsi="Times New Roman"/>
          <w:bCs/>
          <w:color w:val="FF0000"/>
          <w:sz w:val="24"/>
          <w:szCs w:val="24"/>
          <w:lang w:val="en-GB"/>
        </w:rPr>
        <w:t>haracterization of the plant fatigue licensing basis (transient descriptions, considering severity, and number of occurrences);</w:t>
      </w:r>
    </w:p>
    <w:p w14:paraId="5D4D8405" w14:textId="291F7D09" w:rsidR="00D262E7" w:rsidRPr="00471359" w:rsidRDefault="00836153" w:rsidP="00836153">
      <w:pPr>
        <w:pStyle w:val="ListParagraph"/>
        <w:numPr>
          <w:ilvl w:val="0"/>
          <w:numId w:val="12"/>
        </w:numPr>
        <w:tabs>
          <w:tab w:val="clear" w:pos="1080"/>
        </w:tabs>
        <w:spacing w:after="0"/>
        <w:ind w:left="709" w:hanging="357"/>
        <w:contextualSpacing w:val="0"/>
        <w:jc w:val="both"/>
        <w:rPr>
          <w:rFonts w:ascii="Times New Roman" w:hAnsi="Times New Roman"/>
          <w:bCs/>
          <w:color w:val="FF0000"/>
          <w:sz w:val="24"/>
          <w:szCs w:val="24"/>
          <w:lang w:val="en-GB"/>
        </w:rPr>
      </w:pPr>
      <w:r w:rsidRPr="00471359">
        <w:rPr>
          <w:rFonts w:ascii="Times New Roman" w:hAnsi="Times New Roman"/>
          <w:bCs/>
          <w:color w:val="FF0000"/>
          <w:sz w:val="24"/>
          <w:szCs w:val="24"/>
          <w:lang w:val="en-GB"/>
        </w:rPr>
        <w:t>D</w:t>
      </w:r>
      <w:r w:rsidR="00D262E7" w:rsidRPr="00471359">
        <w:rPr>
          <w:rFonts w:ascii="Times New Roman" w:hAnsi="Times New Roman"/>
          <w:bCs/>
          <w:color w:val="FF0000"/>
          <w:sz w:val="24"/>
          <w:szCs w:val="24"/>
          <w:lang w:val="en-GB"/>
        </w:rPr>
        <w:t>ata collection (temperature, pressure, flow rate, etc), at selected locations, to characterize actual operational transients in severity and number of occurrences</w:t>
      </w:r>
      <w:r w:rsidR="005D0404" w:rsidRPr="00471359">
        <w:rPr>
          <w:rFonts w:ascii="Times New Roman" w:hAnsi="Times New Roman"/>
          <w:bCs/>
          <w:color w:val="FF0000"/>
          <w:sz w:val="24"/>
          <w:szCs w:val="24"/>
          <w:lang w:val="en-GB"/>
        </w:rPr>
        <w:t>. In order to ensure adequate performance of the sensors and transmitt</w:t>
      </w:r>
      <w:r w:rsidR="00FC66C9" w:rsidRPr="00471359">
        <w:rPr>
          <w:rFonts w:ascii="Times New Roman" w:hAnsi="Times New Roman"/>
          <w:bCs/>
          <w:color w:val="FF0000"/>
          <w:sz w:val="24"/>
          <w:szCs w:val="24"/>
          <w:lang w:val="en-GB"/>
        </w:rPr>
        <w:t>e</w:t>
      </w:r>
      <w:r w:rsidR="005D0404" w:rsidRPr="00471359">
        <w:rPr>
          <w:rFonts w:ascii="Times New Roman" w:hAnsi="Times New Roman"/>
          <w:bCs/>
          <w:color w:val="FF0000"/>
          <w:sz w:val="24"/>
          <w:szCs w:val="24"/>
          <w:lang w:val="en-GB"/>
        </w:rPr>
        <w:t>rs used for data collection, AMP 217 may be considered</w:t>
      </w:r>
      <w:r w:rsidR="00F45AB1" w:rsidRPr="00471359">
        <w:rPr>
          <w:rFonts w:ascii="Times New Roman" w:hAnsi="Times New Roman"/>
          <w:bCs/>
          <w:color w:val="FF0000"/>
          <w:sz w:val="24"/>
          <w:szCs w:val="24"/>
          <w:lang w:val="en-GB"/>
        </w:rPr>
        <w:t>;</w:t>
      </w:r>
    </w:p>
    <w:p w14:paraId="01CE8B69" w14:textId="023D3E1C" w:rsidR="00D262E7" w:rsidRPr="00471359" w:rsidRDefault="00836153" w:rsidP="00836153">
      <w:pPr>
        <w:pStyle w:val="ListParagraph"/>
        <w:numPr>
          <w:ilvl w:val="0"/>
          <w:numId w:val="12"/>
        </w:numPr>
        <w:tabs>
          <w:tab w:val="clear" w:pos="1080"/>
        </w:tabs>
        <w:spacing w:after="0"/>
        <w:ind w:left="709" w:hanging="357"/>
        <w:contextualSpacing w:val="0"/>
        <w:jc w:val="both"/>
        <w:rPr>
          <w:rFonts w:ascii="Times New Roman" w:hAnsi="Times New Roman"/>
          <w:bCs/>
          <w:color w:val="FF0000"/>
          <w:sz w:val="24"/>
          <w:szCs w:val="24"/>
          <w:lang w:val="en-GB"/>
        </w:rPr>
      </w:pPr>
      <w:r w:rsidRPr="00471359">
        <w:rPr>
          <w:rFonts w:ascii="Times New Roman" w:hAnsi="Times New Roman"/>
          <w:bCs/>
          <w:color w:val="FF0000"/>
          <w:sz w:val="24"/>
          <w:szCs w:val="24"/>
          <w:lang w:val="en-GB"/>
        </w:rPr>
        <w:t>T</w:t>
      </w:r>
      <w:r w:rsidR="00D262E7" w:rsidRPr="00471359">
        <w:rPr>
          <w:rFonts w:ascii="Times New Roman" w:hAnsi="Times New Roman"/>
          <w:bCs/>
          <w:color w:val="FF0000"/>
          <w:sz w:val="24"/>
          <w:szCs w:val="24"/>
          <w:lang w:val="en-GB"/>
        </w:rPr>
        <w:t xml:space="preserve">o ensure that </w:t>
      </w:r>
      <w:r w:rsidR="00F45AB1" w:rsidRPr="00471359">
        <w:rPr>
          <w:rFonts w:ascii="Times New Roman" w:hAnsi="Times New Roman"/>
          <w:bCs/>
          <w:color w:val="FF0000"/>
          <w:sz w:val="24"/>
          <w:szCs w:val="24"/>
          <w:lang w:val="en-GB"/>
        </w:rPr>
        <w:t xml:space="preserve">either </w:t>
      </w:r>
      <w:r w:rsidR="00D262E7" w:rsidRPr="00471359">
        <w:rPr>
          <w:rFonts w:ascii="Times New Roman" w:hAnsi="Times New Roman"/>
          <w:bCs/>
          <w:color w:val="FF0000"/>
          <w:sz w:val="24"/>
          <w:szCs w:val="24"/>
          <w:lang w:val="en-GB"/>
        </w:rPr>
        <w:t>the total number of transient occurrences is less than the design number,</w:t>
      </w:r>
      <w:r w:rsidR="00F45AB1" w:rsidRPr="00471359">
        <w:rPr>
          <w:rFonts w:ascii="Times New Roman" w:hAnsi="Times New Roman"/>
          <w:bCs/>
          <w:color w:val="FF0000"/>
          <w:sz w:val="24"/>
          <w:szCs w:val="24"/>
          <w:lang w:val="en-GB"/>
        </w:rPr>
        <w:t xml:space="preserve"> or, when the design number of occurrences is exceeded for some transients, the CUF remains below 1;</w:t>
      </w:r>
    </w:p>
    <w:p w14:paraId="6BC6FB95" w14:textId="2ABB6CA8" w:rsidR="00D262E7" w:rsidRPr="00471359" w:rsidRDefault="00836153" w:rsidP="00836153">
      <w:pPr>
        <w:pStyle w:val="ListParagraph"/>
        <w:numPr>
          <w:ilvl w:val="0"/>
          <w:numId w:val="12"/>
        </w:numPr>
        <w:tabs>
          <w:tab w:val="clear" w:pos="1080"/>
        </w:tabs>
        <w:spacing w:after="0"/>
        <w:ind w:left="709" w:hanging="357"/>
        <w:contextualSpacing w:val="0"/>
        <w:jc w:val="both"/>
        <w:rPr>
          <w:rFonts w:ascii="Times New Roman" w:hAnsi="Times New Roman"/>
          <w:bCs/>
          <w:color w:val="FF0000"/>
          <w:sz w:val="24"/>
          <w:szCs w:val="24"/>
          <w:lang w:val="en-GB"/>
        </w:rPr>
      </w:pPr>
      <w:r w:rsidRPr="00471359">
        <w:rPr>
          <w:rFonts w:ascii="Times New Roman" w:hAnsi="Times New Roman"/>
          <w:bCs/>
          <w:color w:val="FF0000"/>
          <w:sz w:val="24"/>
          <w:szCs w:val="24"/>
          <w:lang w:val="en-GB"/>
        </w:rPr>
        <w:t>T</w:t>
      </w:r>
      <w:r w:rsidR="00D262E7" w:rsidRPr="00471359">
        <w:rPr>
          <w:rFonts w:ascii="Times New Roman" w:hAnsi="Times New Roman"/>
          <w:bCs/>
          <w:color w:val="FF0000"/>
          <w:sz w:val="24"/>
          <w:szCs w:val="24"/>
          <w:lang w:val="en-GB"/>
        </w:rPr>
        <w:t>o ensure that the actual transient loads are bounded by those for the licensing basis transients;</w:t>
      </w:r>
    </w:p>
    <w:p w14:paraId="4BAE6510" w14:textId="1A5644BE" w:rsidR="00D262E7" w:rsidRPr="00471359" w:rsidRDefault="00836153" w:rsidP="00836153">
      <w:pPr>
        <w:pStyle w:val="ListParagraph"/>
        <w:numPr>
          <w:ilvl w:val="0"/>
          <w:numId w:val="12"/>
        </w:numPr>
        <w:tabs>
          <w:tab w:val="clear" w:pos="1080"/>
        </w:tabs>
        <w:spacing w:after="0"/>
        <w:ind w:left="709" w:hanging="357"/>
        <w:contextualSpacing w:val="0"/>
        <w:jc w:val="both"/>
        <w:rPr>
          <w:rFonts w:ascii="Times New Roman" w:hAnsi="Times New Roman"/>
          <w:bCs/>
          <w:color w:val="FF0000"/>
          <w:sz w:val="24"/>
          <w:szCs w:val="24"/>
          <w:lang w:val="en-GB"/>
        </w:rPr>
      </w:pPr>
      <w:r w:rsidRPr="00471359">
        <w:rPr>
          <w:rFonts w:ascii="Times New Roman" w:hAnsi="Times New Roman"/>
          <w:bCs/>
          <w:color w:val="FF0000"/>
          <w:sz w:val="24"/>
          <w:szCs w:val="24"/>
          <w:lang w:val="en-GB"/>
        </w:rPr>
        <w:t>R</w:t>
      </w:r>
      <w:r w:rsidR="00D262E7" w:rsidRPr="00471359">
        <w:rPr>
          <w:rFonts w:ascii="Times New Roman" w:hAnsi="Times New Roman"/>
          <w:bCs/>
          <w:color w:val="FF0000"/>
          <w:sz w:val="24"/>
          <w:szCs w:val="24"/>
          <w:lang w:val="en-GB"/>
        </w:rPr>
        <w:t>econciliation and corrective actions for cases in which the licensing basis assumptions are exceeded by the actual operational transients.</w:t>
      </w:r>
    </w:p>
    <w:p w14:paraId="7C67F0CC" w14:textId="77777777" w:rsidR="00D262E7" w:rsidRPr="00A019F7" w:rsidRDefault="00D262E7" w:rsidP="003B39D9">
      <w:pPr>
        <w:pStyle w:val="Body"/>
        <w:tabs>
          <w:tab w:val="clear" w:pos="2520"/>
        </w:tabs>
        <w:ind w:left="0" w:firstLine="0"/>
        <w:jc w:val="both"/>
        <w:rPr>
          <w:rFonts w:ascii="Times New Roman" w:hAnsi="Times New Roman"/>
          <w:sz w:val="24"/>
          <w:szCs w:val="24"/>
        </w:rPr>
      </w:pPr>
      <w:r w:rsidRPr="00A019F7">
        <w:rPr>
          <w:rFonts w:ascii="Times New Roman" w:hAnsi="Times New Roman"/>
          <w:sz w:val="24"/>
          <w:szCs w:val="24"/>
        </w:rPr>
        <w:t>Monitoring new unanticipated cyclic transients demands a case by case study to define the parameters to be monitored, the viable sensor types, the locations for the installation of sensors, the monitoring frequency, the possibility of metal fatigue, and the hardware and software to be used for data collection and fatigue assessments</w:t>
      </w:r>
      <w:r w:rsidR="002043A3">
        <w:rPr>
          <w:rFonts w:ascii="Times New Roman" w:hAnsi="Times New Roman"/>
          <w:sz w:val="24"/>
          <w:szCs w:val="24"/>
        </w:rPr>
        <w:t xml:space="preserve"> [</w:t>
      </w:r>
      <w:r w:rsidR="001D6367">
        <w:rPr>
          <w:rFonts w:ascii="Times New Roman" w:hAnsi="Times New Roman"/>
          <w:sz w:val="24"/>
          <w:szCs w:val="24"/>
        </w:rPr>
        <w:t>19</w:t>
      </w:r>
      <w:r w:rsidR="002043A3">
        <w:rPr>
          <w:rFonts w:ascii="Times New Roman" w:hAnsi="Times New Roman"/>
          <w:sz w:val="24"/>
          <w:szCs w:val="24"/>
        </w:rPr>
        <w:t>]</w:t>
      </w:r>
      <w:r w:rsidRPr="00A019F7">
        <w:rPr>
          <w:rFonts w:ascii="Times New Roman" w:hAnsi="Times New Roman"/>
          <w:sz w:val="24"/>
          <w:szCs w:val="24"/>
        </w:rPr>
        <w:t>.</w:t>
      </w:r>
    </w:p>
    <w:p w14:paraId="3A8DC815" w14:textId="77777777" w:rsidR="00D262E7" w:rsidRDefault="00D262E7" w:rsidP="003B39D9">
      <w:pPr>
        <w:pStyle w:val="Body"/>
        <w:tabs>
          <w:tab w:val="clear" w:pos="2520"/>
        </w:tabs>
        <w:ind w:left="0" w:firstLine="0"/>
        <w:jc w:val="both"/>
        <w:rPr>
          <w:rFonts w:ascii="Times New Roman" w:hAnsi="Times New Roman"/>
          <w:sz w:val="24"/>
          <w:szCs w:val="24"/>
        </w:rPr>
      </w:pPr>
      <w:r w:rsidRPr="00A019F7">
        <w:rPr>
          <w:rFonts w:ascii="Times New Roman" w:hAnsi="Times New Roman"/>
          <w:sz w:val="24"/>
          <w:szCs w:val="24"/>
        </w:rPr>
        <w:t xml:space="preserve">During plant operation, the </w:t>
      </w:r>
      <w:proofErr w:type="spellStart"/>
      <w:r w:rsidRPr="00A019F7">
        <w:rPr>
          <w:rFonts w:ascii="Times New Roman" w:hAnsi="Times New Roman"/>
          <w:sz w:val="24"/>
          <w:szCs w:val="24"/>
        </w:rPr>
        <w:t>programme</w:t>
      </w:r>
      <w:proofErr w:type="spellEnd"/>
      <w:r w:rsidRPr="00A019F7">
        <w:rPr>
          <w:rFonts w:ascii="Times New Roman" w:hAnsi="Times New Roman"/>
          <w:sz w:val="24"/>
          <w:szCs w:val="24"/>
        </w:rPr>
        <w:t xml:space="preserve"> scope can be reduced</w:t>
      </w:r>
      <w:r w:rsidR="000E37F5" w:rsidRPr="00A019F7">
        <w:rPr>
          <w:rFonts w:ascii="Times New Roman" w:hAnsi="Times New Roman"/>
          <w:sz w:val="24"/>
          <w:szCs w:val="24"/>
        </w:rPr>
        <w:t>,</w:t>
      </w:r>
      <w:r w:rsidRPr="00A019F7">
        <w:rPr>
          <w:rFonts w:ascii="Times New Roman" w:hAnsi="Times New Roman"/>
          <w:sz w:val="24"/>
          <w:szCs w:val="24"/>
        </w:rPr>
        <w:t xml:space="preserve"> if selected transients or locations under control are shown not to be relevant</w:t>
      </w:r>
      <w:r w:rsidR="000E37F5" w:rsidRPr="00A019F7">
        <w:rPr>
          <w:rFonts w:ascii="Times New Roman" w:hAnsi="Times New Roman"/>
          <w:sz w:val="24"/>
          <w:szCs w:val="24"/>
        </w:rPr>
        <w:t xml:space="preserve"> </w:t>
      </w:r>
      <w:r w:rsidRPr="00A019F7">
        <w:rPr>
          <w:rFonts w:ascii="Times New Roman" w:hAnsi="Times New Roman"/>
          <w:sz w:val="24"/>
          <w:szCs w:val="24"/>
        </w:rPr>
        <w:t>or enlarged to investigate new locations potentially subject to low-cycle fatigue; to respond to recommendations from operating experience; or to comply with additional regulatory requirements.</w:t>
      </w:r>
    </w:p>
    <w:p w14:paraId="6C419EC6" w14:textId="77777777" w:rsidR="00CC5E99" w:rsidRPr="00A019F7" w:rsidRDefault="00CC5E99" w:rsidP="003B39D9">
      <w:pPr>
        <w:pStyle w:val="Body"/>
        <w:tabs>
          <w:tab w:val="clear" w:pos="2520"/>
        </w:tabs>
        <w:ind w:left="0" w:firstLine="0"/>
        <w:jc w:val="both"/>
        <w:rPr>
          <w:rFonts w:ascii="Times New Roman" w:hAnsi="Times New Roman"/>
          <w:sz w:val="24"/>
          <w:szCs w:val="24"/>
        </w:rPr>
      </w:pPr>
    </w:p>
    <w:p w14:paraId="2C750745" w14:textId="77777777" w:rsidR="00D262E7" w:rsidRPr="00662B1D" w:rsidRDefault="00D262E7" w:rsidP="003B39D9">
      <w:pPr>
        <w:pStyle w:val="BodyNumbered"/>
        <w:numPr>
          <w:ilvl w:val="0"/>
          <w:numId w:val="7"/>
        </w:numPr>
        <w:tabs>
          <w:tab w:val="clear" w:pos="360"/>
          <w:tab w:val="num" w:pos="-2160"/>
          <w:tab w:val="left" w:pos="426"/>
        </w:tabs>
        <w:ind w:left="0" w:firstLine="0"/>
        <w:rPr>
          <w:rFonts w:ascii="Times New Roman" w:hAnsi="Times New Roman"/>
          <w:b/>
          <w:i/>
          <w:sz w:val="24"/>
          <w:szCs w:val="24"/>
        </w:rPr>
      </w:pPr>
      <w:r w:rsidRPr="00A019F7">
        <w:rPr>
          <w:rFonts w:ascii="Times New Roman" w:hAnsi="Times New Roman"/>
          <w:b/>
          <w:i/>
          <w:sz w:val="24"/>
          <w:szCs w:val="24"/>
        </w:rPr>
        <w:t>Preventive actions to minimize and control ageing degradation</w:t>
      </w:r>
      <w:r w:rsidR="004D08D4">
        <w:rPr>
          <w:rFonts w:ascii="Times New Roman" w:hAnsi="Times New Roman"/>
          <w:b/>
          <w:i/>
          <w:sz w:val="24"/>
          <w:szCs w:val="24"/>
        </w:rPr>
        <w:t>:</w:t>
      </w:r>
    </w:p>
    <w:p w14:paraId="20A4A6EE" w14:textId="77777777" w:rsidR="00D262E7" w:rsidRDefault="00D262E7" w:rsidP="003B39D9">
      <w:pPr>
        <w:pStyle w:val="Body"/>
        <w:tabs>
          <w:tab w:val="clear" w:pos="2520"/>
        </w:tabs>
        <w:ind w:left="0" w:firstLine="0"/>
        <w:jc w:val="both"/>
        <w:rPr>
          <w:rFonts w:ascii="Times New Roman" w:hAnsi="Times New Roman"/>
          <w:sz w:val="24"/>
          <w:szCs w:val="24"/>
        </w:rPr>
      </w:pPr>
      <w:r w:rsidRPr="00A019F7">
        <w:rPr>
          <w:rFonts w:ascii="Times New Roman" w:hAnsi="Times New Roman"/>
          <w:sz w:val="24"/>
          <w:szCs w:val="24"/>
        </w:rPr>
        <w:t xml:space="preserve">The </w:t>
      </w:r>
      <w:proofErr w:type="spellStart"/>
      <w:r w:rsidRPr="00A019F7">
        <w:rPr>
          <w:rFonts w:ascii="Times New Roman" w:hAnsi="Times New Roman"/>
          <w:sz w:val="24"/>
          <w:szCs w:val="24"/>
        </w:rPr>
        <w:t>programme</w:t>
      </w:r>
      <w:proofErr w:type="spellEnd"/>
      <w:r w:rsidRPr="00A019F7">
        <w:rPr>
          <w:rFonts w:ascii="Times New Roman" w:hAnsi="Times New Roman"/>
          <w:sz w:val="24"/>
          <w:szCs w:val="24"/>
        </w:rPr>
        <w:t xml:space="preserve"> prevents the current fatigue analyses from becoming invalid by assuring that the fatigue usage factor resulting from actual operational transients does not exceed the design limit, including anticipated and new unanticipated transients, and environmental effects where applicable. In the case of monitoring anticipated transients, this could be caused by the numbers of actual plant transients exceeding the numbers used in the existing fatigue analyses or by the actual transient severity exceeding the bounds of the design transient definitions. However, in either of these cases, the </w:t>
      </w:r>
      <w:proofErr w:type="spellStart"/>
      <w:r w:rsidRPr="00A019F7">
        <w:rPr>
          <w:rFonts w:ascii="Times New Roman" w:hAnsi="Times New Roman"/>
          <w:sz w:val="24"/>
          <w:szCs w:val="24"/>
        </w:rPr>
        <w:t>programme</w:t>
      </w:r>
      <w:proofErr w:type="spellEnd"/>
      <w:r w:rsidRPr="00A019F7">
        <w:rPr>
          <w:rFonts w:ascii="Times New Roman" w:hAnsi="Times New Roman"/>
          <w:sz w:val="24"/>
          <w:szCs w:val="24"/>
        </w:rPr>
        <w:t xml:space="preserve"> remains effective if the analysis is revised to account for the increased number or severity of transients such that the value of the cumulative usage factor remains below the design limit. </w:t>
      </w:r>
    </w:p>
    <w:p w14:paraId="67A4A92A" w14:textId="77777777" w:rsidR="00CC5E99" w:rsidRPr="00A019F7" w:rsidRDefault="00CC5E99" w:rsidP="003B39D9">
      <w:pPr>
        <w:pStyle w:val="Body"/>
        <w:tabs>
          <w:tab w:val="clear" w:pos="2520"/>
        </w:tabs>
        <w:ind w:left="0" w:firstLine="0"/>
        <w:jc w:val="both"/>
        <w:rPr>
          <w:rFonts w:ascii="Times New Roman" w:hAnsi="Times New Roman"/>
          <w:sz w:val="24"/>
          <w:szCs w:val="24"/>
        </w:rPr>
      </w:pPr>
    </w:p>
    <w:p w14:paraId="32FA8CA5" w14:textId="77777777" w:rsidR="00D262E7" w:rsidRPr="00662B1D" w:rsidRDefault="00D262E7" w:rsidP="003B39D9">
      <w:pPr>
        <w:pStyle w:val="BodyNumbered"/>
        <w:numPr>
          <w:ilvl w:val="0"/>
          <w:numId w:val="7"/>
        </w:numPr>
        <w:tabs>
          <w:tab w:val="clear" w:pos="360"/>
          <w:tab w:val="num" w:pos="-2160"/>
          <w:tab w:val="left" w:pos="426"/>
        </w:tabs>
        <w:ind w:left="0" w:firstLine="0"/>
        <w:rPr>
          <w:rFonts w:ascii="Times New Roman" w:hAnsi="Times New Roman"/>
          <w:b/>
          <w:i/>
          <w:sz w:val="24"/>
          <w:szCs w:val="24"/>
        </w:rPr>
      </w:pPr>
      <w:r w:rsidRPr="00A019F7">
        <w:rPr>
          <w:rFonts w:ascii="Times New Roman" w:hAnsi="Times New Roman"/>
          <w:b/>
          <w:i/>
          <w:sz w:val="24"/>
          <w:szCs w:val="24"/>
        </w:rPr>
        <w:t>Detection of ageing effects</w:t>
      </w:r>
      <w:r w:rsidR="004D08D4">
        <w:rPr>
          <w:rFonts w:ascii="Times New Roman" w:hAnsi="Times New Roman"/>
          <w:b/>
          <w:i/>
          <w:sz w:val="24"/>
          <w:szCs w:val="24"/>
        </w:rPr>
        <w:t>:</w:t>
      </w:r>
    </w:p>
    <w:p w14:paraId="7F807FC8" w14:textId="67B41F4E" w:rsidR="00CC5E99" w:rsidRPr="00A019F7" w:rsidRDefault="002025BE" w:rsidP="003B39D9">
      <w:pPr>
        <w:pStyle w:val="Body"/>
        <w:tabs>
          <w:tab w:val="clear" w:pos="2520"/>
        </w:tabs>
        <w:ind w:left="0" w:firstLine="0"/>
        <w:jc w:val="both"/>
        <w:rPr>
          <w:rFonts w:ascii="Times New Roman" w:hAnsi="Times New Roman"/>
          <w:sz w:val="24"/>
          <w:szCs w:val="24"/>
        </w:rPr>
      </w:pPr>
      <w:r w:rsidRPr="00471359">
        <w:rPr>
          <w:rFonts w:ascii="Times New Roman" w:hAnsi="Times New Roman"/>
          <w:color w:val="FF0000"/>
          <w:sz w:val="24"/>
          <w:szCs w:val="24"/>
        </w:rPr>
        <w:lastRenderedPageBreak/>
        <w:t>In general, f</w:t>
      </w:r>
      <w:r w:rsidR="00D262E7" w:rsidRPr="00471359">
        <w:rPr>
          <w:rFonts w:ascii="Times New Roman" w:hAnsi="Times New Roman"/>
          <w:color w:val="FF0000"/>
          <w:sz w:val="24"/>
          <w:szCs w:val="24"/>
        </w:rPr>
        <w:t xml:space="preserve">atigue monitoring is a preventive </w:t>
      </w:r>
      <w:proofErr w:type="spellStart"/>
      <w:r w:rsidR="00D262E7" w:rsidRPr="00471359">
        <w:rPr>
          <w:rFonts w:ascii="Times New Roman" w:hAnsi="Times New Roman"/>
          <w:color w:val="FF0000"/>
          <w:sz w:val="24"/>
          <w:szCs w:val="24"/>
        </w:rPr>
        <w:t>programme</w:t>
      </w:r>
      <w:proofErr w:type="spellEnd"/>
      <w:r w:rsidR="00D262E7" w:rsidRPr="00471359">
        <w:rPr>
          <w:rFonts w:ascii="Times New Roman" w:hAnsi="Times New Roman"/>
          <w:color w:val="FF0000"/>
          <w:sz w:val="24"/>
          <w:szCs w:val="24"/>
        </w:rPr>
        <w:t xml:space="preserve"> and does not directly detect ageing effects. The </w:t>
      </w:r>
      <w:proofErr w:type="spellStart"/>
      <w:r w:rsidR="00D262E7" w:rsidRPr="00471359">
        <w:rPr>
          <w:rFonts w:ascii="Times New Roman" w:hAnsi="Times New Roman"/>
          <w:color w:val="FF0000"/>
          <w:sz w:val="24"/>
          <w:szCs w:val="24"/>
        </w:rPr>
        <w:t>programme</w:t>
      </w:r>
      <w:proofErr w:type="spellEnd"/>
      <w:r w:rsidR="00D262E7" w:rsidRPr="00471359">
        <w:rPr>
          <w:rFonts w:ascii="Times New Roman" w:hAnsi="Times New Roman"/>
          <w:color w:val="FF0000"/>
          <w:sz w:val="24"/>
          <w:szCs w:val="24"/>
        </w:rPr>
        <w:t xml:space="preserve"> provides for updates of the fatigue usage calculations on an as-needed basis if an allowable cycle limit is approached, or in a case where a transient definition has been changed, new unanticipated thermal </w:t>
      </w:r>
      <w:r w:rsidR="003B38EC" w:rsidRPr="00471359">
        <w:rPr>
          <w:rFonts w:ascii="Times New Roman" w:hAnsi="Times New Roman"/>
          <w:color w:val="FF0000"/>
          <w:sz w:val="24"/>
          <w:szCs w:val="24"/>
        </w:rPr>
        <w:t xml:space="preserve">or pressure </w:t>
      </w:r>
      <w:r w:rsidR="00D262E7" w:rsidRPr="00471359">
        <w:rPr>
          <w:rFonts w:ascii="Times New Roman" w:hAnsi="Times New Roman"/>
          <w:color w:val="FF0000"/>
          <w:sz w:val="24"/>
          <w:szCs w:val="24"/>
        </w:rPr>
        <w:t xml:space="preserve">events are discovered, or the geometry of components have been modified. </w:t>
      </w:r>
      <w:r w:rsidR="00793401" w:rsidRPr="00471359">
        <w:rPr>
          <w:rFonts w:ascii="Times New Roman" w:hAnsi="Times New Roman"/>
          <w:color w:val="FF0000"/>
          <w:sz w:val="24"/>
          <w:szCs w:val="24"/>
        </w:rPr>
        <w:t>I</w:t>
      </w:r>
      <w:r w:rsidR="001D4C6F" w:rsidRPr="00471359">
        <w:rPr>
          <w:rFonts w:ascii="Times New Roman" w:hAnsi="Times New Roman"/>
          <w:color w:val="FF0000"/>
          <w:sz w:val="24"/>
          <w:szCs w:val="24"/>
        </w:rPr>
        <w:t>n some countries, corrective actions are required for locations in which the CUF exceeds a threshold value below the design code limit.</w:t>
      </w:r>
    </w:p>
    <w:p w14:paraId="7FB31CFB" w14:textId="77777777" w:rsidR="00D262E7" w:rsidRPr="00662B1D" w:rsidRDefault="00D262E7" w:rsidP="003B39D9">
      <w:pPr>
        <w:pStyle w:val="BodyNumbered"/>
        <w:numPr>
          <w:ilvl w:val="0"/>
          <w:numId w:val="7"/>
        </w:numPr>
        <w:tabs>
          <w:tab w:val="clear" w:pos="360"/>
          <w:tab w:val="num" w:pos="-2160"/>
          <w:tab w:val="left" w:pos="426"/>
        </w:tabs>
        <w:ind w:left="0" w:firstLine="0"/>
        <w:rPr>
          <w:rFonts w:ascii="Times New Roman" w:hAnsi="Times New Roman"/>
          <w:b/>
          <w:i/>
          <w:sz w:val="24"/>
          <w:szCs w:val="24"/>
        </w:rPr>
      </w:pPr>
      <w:r w:rsidRPr="00A019F7">
        <w:rPr>
          <w:rFonts w:ascii="Times New Roman" w:hAnsi="Times New Roman"/>
          <w:b/>
          <w:i/>
          <w:sz w:val="24"/>
          <w:szCs w:val="24"/>
        </w:rPr>
        <w:t>Monitoring and trending of ageing effects</w:t>
      </w:r>
      <w:r w:rsidR="004D08D4">
        <w:rPr>
          <w:rFonts w:ascii="Times New Roman" w:hAnsi="Times New Roman"/>
          <w:b/>
          <w:i/>
          <w:sz w:val="24"/>
          <w:szCs w:val="24"/>
        </w:rPr>
        <w:t>:</w:t>
      </w:r>
    </w:p>
    <w:p w14:paraId="156BB6CE" w14:textId="0421F1AB" w:rsidR="00D262E7" w:rsidRPr="00471359" w:rsidRDefault="00DF666F" w:rsidP="003B39D9">
      <w:pPr>
        <w:pStyle w:val="Body"/>
        <w:tabs>
          <w:tab w:val="clear" w:pos="2520"/>
        </w:tabs>
        <w:ind w:left="0" w:firstLine="0"/>
        <w:jc w:val="both"/>
        <w:rPr>
          <w:rFonts w:ascii="Times New Roman" w:hAnsi="Times New Roman"/>
          <w:color w:val="FF0000"/>
          <w:sz w:val="24"/>
          <w:szCs w:val="24"/>
        </w:rPr>
      </w:pPr>
      <w:r w:rsidRPr="00471359">
        <w:rPr>
          <w:rFonts w:ascii="Times New Roman" w:hAnsi="Times New Roman"/>
          <w:color w:val="FF0000"/>
          <w:sz w:val="24"/>
          <w:szCs w:val="24"/>
        </w:rPr>
        <w:t>CUF of typical locations subject</w:t>
      </w:r>
      <w:r w:rsidR="00B91484" w:rsidRPr="00471359">
        <w:rPr>
          <w:rFonts w:ascii="Times New Roman" w:hAnsi="Times New Roman"/>
          <w:color w:val="FF0000"/>
          <w:sz w:val="24"/>
          <w:szCs w:val="24"/>
        </w:rPr>
        <w:t>ed</w:t>
      </w:r>
      <w:r w:rsidRPr="00471359">
        <w:rPr>
          <w:rFonts w:ascii="Times New Roman" w:hAnsi="Times New Roman"/>
          <w:color w:val="FF0000"/>
          <w:sz w:val="24"/>
          <w:szCs w:val="24"/>
        </w:rPr>
        <w:t xml:space="preserve"> to low-cycle fatigue is monitored. </w:t>
      </w:r>
      <w:r w:rsidR="00D262E7" w:rsidRPr="00471359">
        <w:rPr>
          <w:rFonts w:ascii="Times New Roman" w:hAnsi="Times New Roman"/>
          <w:color w:val="FF0000"/>
          <w:sz w:val="24"/>
          <w:szCs w:val="24"/>
        </w:rPr>
        <w:t xml:space="preserve">Trending is utilized to ensure that the fatigue usage factor remains below the design limit during </w:t>
      </w:r>
      <w:r w:rsidR="00B93B28" w:rsidRPr="00471359">
        <w:rPr>
          <w:rFonts w:ascii="Times New Roman" w:hAnsi="Times New Roman"/>
          <w:color w:val="FF0000"/>
          <w:sz w:val="24"/>
          <w:szCs w:val="24"/>
        </w:rPr>
        <w:t xml:space="preserve">all plant </w:t>
      </w:r>
      <w:r w:rsidR="00D262E7" w:rsidRPr="00471359">
        <w:rPr>
          <w:rFonts w:ascii="Times New Roman" w:hAnsi="Times New Roman"/>
          <w:color w:val="FF0000"/>
          <w:sz w:val="24"/>
          <w:szCs w:val="24"/>
        </w:rPr>
        <w:t>operating period</w:t>
      </w:r>
      <w:r w:rsidR="00B93B28" w:rsidRPr="00471359">
        <w:rPr>
          <w:rFonts w:ascii="Times New Roman" w:hAnsi="Times New Roman"/>
          <w:color w:val="FF0000"/>
          <w:sz w:val="24"/>
          <w:szCs w:val="24"/>
        </w:rPr>
        <w:t>s</w:t>
      </w:r>
      <w:r w:rsidR="00D262E7" w:rsidRPr="00471359">
        <w:rPr>
          <w:rFonts w:ascii="Times New Roman" w:hAnsi="Times New Roman"/>
          <w:color w:val="FF0000"/>
          <w:sz w:val="24"/>
          <w:szCs w:val="24"/>
        </w:rPr>
        <w:t>, thus minimizing fatigue damage of metal components caused by cyclic strains in the material. Projections of future transient occurrences, in combination with action limits on CUF values, can provide assurance that corrective actions will be made prior to the CUF exceeding the design limit.</w:t>
      </w:r>
    </w:p>
    <w:p w14:paraId="6050CCC8" w14:textId="77777777" w:rsidR="00CC5E99" w:rsidRPr="00A019F7" w:rsidRDefault="00CC5E99" w:rsidP="003B39D9">
      <w:pPr>
        <w:pStyle w:val="Body"/>
        <w:tabs>
          <w:tab w:val="clear" w:pos="2520"/>
        </w:tabs>
        <w:ind w:left="0" w:firstLine="0"/>
        <w:jc w:val="both"/>
        <w:rPr>
          <w:rFonts w:ascii="Times New Roman" w:hAnsi="Times New Roman"/>
          <w:sz w:val="24"/>
          <w:szCs w:val="24"/>
        </w:rPr>
      </w:pPr>
    </w:p>
    <w:p w14:paraId="16CD0D98" w14:textId="77777777" w:rsidR="00D262E7" w:rsidRPr="00A019F7" w:rsidRDefault="00D262E7" w:rsidP="003B39D9">
      <w:pPr>
        <w:pStyle w:val="BodyNumbered"/>
        <w:numPr>
          <w:ilvl w:val="0"/>
          <w:numId w:val="7"/>
        </w:numPr>
        <w:tabs>
          <w:tab w:val="clear" w:pos="360"/>
          <w:tab w:val="num" w:pos="-2160"/>
          <w:tab w:val="left" w:pos="426"/>
        </w:tabs>
        <w:ind w:left="0" w:firstLine="0"/>
        <w:rPr>
          <w:rFonts w:ascii="Times New Roman" w:hAnsi="Times New Roman"/>
          <w:b/>
          <w:i/>
          <w:sz w:val="24"/>
          <w:szCs w:val="24"/>
        </w:rPr>
      </w:pPr>
      <w:r w:rsidRPr="00A019F7">
        <w:rPr>
          <w:rFonts w:ascii="Times New Roman" w:hAnsi="Times New Roman"/>
          <w:b/>
          <w:i/>
          <w:sz w:val="24"/>
          <w:szCs w:val="24"/>
        </w:rPr>
        <w:t>Mitigating ageing effects</w:t>
      </w:r>
      <w:r w:rsidR="004D08D4">
        <w:rPr>
          <w:rFonts w:ascii="Times New Roman" w:hAnsi="Times New Roman"/>
          <w:b/>
          <w:i/>
          <w:sz w:val="24"/>
          <w:szCs w:val="24"/>
        </w:rPr>
        <w:t>:</w:t>
      </w:r>
    </w:p>
    <w:p w14:paraId="538F3A23" w14:textId="77777777" w:rsidR="00D262E7" w:rsidRPr="00A019F7" w:rsidRDefault="00D262E7" w:rsidP="003B39D9">
      <w:pPr>
        <w:pStyle w:val="Body"/>
        <w:tabs>
          <w:tab w:val="clear" w:pos="2520"/>
        </w:tabs>
        <w:ind w:left="0" w:firstLine="0"/>
        <w:jc w:val="both"/>
        <w:rPr>
          <w:rFonts w:ascii="Times New Roman" w:hAnsi="Times New Roman"/>
          <w:sz w:val="24"/>
          <w:szCs w:val="24"/>
        </w:rPr>
      </w:pPr>
      <w:r w:rsidRPr="00A019F7">
        <w:rPr>
          <w:rFonts w:ascii="Times New Roman" w:hAnsi="Times New Roman"/>
          <w:sz w:val="24"/>
          <w:szCs w:val="24"/>
        </w:rPr>
        <w:t xml:space="preserve">Fatigue monitoring is a preventive ageing management </w:t>
      </w:r>
      <w:proofErr w:type="spellStart"/>
      <w:r w:rsidRPr="00A019F7">
        <w:rPr>
          <w:rFonts w:ascii="Times New Roman" w:hAnsi="Times New Roman"/>
          <w:sz w:val="24"/>
          <w:szCs w:val="24"/>
        </w:rPr>
        <w:t>programme</w:t>
      </w:r>
      <w:proofErr w:type="spellEnd"/>
      <w:r w:rsidRPr="00A019F7">
        <w:rPr>
          <w:rFonts w:ascii="Times New Roman" w:hAnsi="Times New Roman"/>
          <w:sz w:val="24"/>
          <w:szCs w:val="24"/>
        </w:rPr>
        <w:t>, and no specific mitigating actions are provided. In some cases, mitigation of fatigue can occur through improved operational procedures or equipment replacement to reduce transient occurrences or severity, for example mitigation of thermal shock in steam generator feeding through replacement of feed</w:t>
      </w:r>
      <w:r w:rsidR="00C32497">
        <w:rPr>
          <w:rFonts w:ascii="Times New Roman" w:hAnsi="Times New Roman"/>
          <w:sz w:val="24"/>
          <w:szCs w:val="24"/>
        </w:rPr>
        <w:t xml:space="preserve"> </w:t>
      </w:r>
      <w:r w:rsidRPr="00A019F7">
        <w:rPr>
          <w:rFonts w:ascii="Times New Roman" w:hAnsi="Times New Roman"/>
          <w:sz w:val="24"/>
          <w:szCs w:val="24"/>
        </w:rPr>
        <w:t>water valves by better controlled ones.</w:t>
      </w:r>
    </w:p>
    <w:p w14:paraId="38B63A37" w14:textId="77777777" w:rsidR="00D262E7" w:rsidRDefault="00D262E7" w:rsidP="003B39D9">
      <w:pPr>
        <w:pStyle w:val="Body"/>
        <w:tabs>
          <w:tab w:val="clear" w:pos="2520"/>
        </w:tabs>
        <w:ind w:left="0" w:firstLine="0"/>
        <w:jc w:val="both"/>
        <w:rPr>
          <w:rFonts w:ascii="Times New Roman" w:hAnsi="Times New Roman"/>
          <w:sz w:val="24"/>
          <w:szCs w:val="24"/>
        </w:rPr>
      </w:pPr>
      <w:r w:rsidRPr="00A019F7">
        <w:rPr>
          <w:rFonts w:ascii="Times New Roman" w:hAnsi="Times New Roman"/>
          <w:sz w:val="24"/>
          <w:szCs w:val="24"/>
        </w:rPr>
        <w:t>Mitigation of thermal stratification can be performed by hardware modifications (for instance the replacement of feed water valves for better feeding of the steam generators) or by modification in operational regimes (for example during startup and shutdown when thermal stratification may occur).</w:t>
      </w:r>
    </w:p>
    <w:p w14:paraId="41E4203B" w14:textId="77777777" w:rsidR="00CC5E99" w:rsidRPr="00A019F7" w:rsidRDefault="00CC5E99" w:rsidP="003B39D9">
      <w:pPr>
        <w:pStyle w:val="Body"/>
        <w:tabs>
          <w:tab w:val="clear" w:pos="2520"/>
        </w:tabs>
        <w:ind w:left="0" w:firstLine="0"/>
        <w:jc w:val="both"/>
        <w:rPr>
          <w:rFonts w:ascii="Times New Roman" w:hAnsi="Times New Roman"/>
          <w:sz w:val="24"/>
          <w:szCs w:val="24"/>
        </w:rPr>
      </w:pPr>
    </w:p>
    <w:p w14:paraId="67B53F83" w14:textId="77777777" w:rsidR="00D262E7" w:rsidRPr="00662B1D" w:rsidRDefault="00D262E7" w:rsidP="003B39D9">
      <w:pPr>
        <w:pStyle w:val="BodyNumbered"/>
        <w:numPr>
          <w:ilvl w:val="0"/>
          <w:numId w:val="7"/>
        </w:numPr>
        <w:tabs>
          <w:tab w:val="clear" w:pos="360"/>
          <w:tab w:val="num" w:pos="-2160"/>
          <w:tab w:val="left" w:pos="426"/>
        </w:tabs>
        <w:ind w:left="0" w:firstLine="0"/>
        <w:rPr>
          <w:rFonts w:ascii="Times New Roman" w:hAnsi="Times New Roman"/>
          <w:b/>
          <w:i/>
          <w:sz w:val="24"/>
          <w:szCs w:val="24"/>
        </w:rPr>
      </w:pPr>
      <w:r w:rsidRPr="00A019F7">
        <w:rPr>
          <w:rFonts w:ascii="Times New Roman" w:hAnsi="Times New Roman"/>
          <w:b/>
          <w:i/>
          <w:sz w:val="24"/>
          <w:szCs w:val="24"/>
        </w:rPr>
        <w:t>Acceptance criteria</w:t>
      </w:r>
      <w:r w:rsidR="004D08D4">
        <w:rPr>
          <w:rFonts w:ascii="Times New Roman" w:hAnsi="Times New Roman"/>
          <w:b/>
          <w:i/>
          <w:sz w:val="24"/>
          <w:szCs w:val="24"/>
        </w:rPr>
        <w:t>:</w:t>
      </w:r>
    </w:p>
    <w:p w14:paraId="2F527AC1" w14:textId="465F4EF5" w:rsidR="00D262E7" w:rsidRDefault="00D262E7" w:rsidP="003B39D9">
      <w:pPr>
        <w:pStyle w:val="Body"/>
        <w:tabs>
          <w:tab w:val="clear" w:pos="2520"/>
        </w:tabs>
        <w:ind w:left="0" w:firstLine="0"/>
        <w:jc w:val="both"/>
        <w:rPr>
          <w:rFonts w:ascii="Times New Roman" w:hAnsi="Times New Roman"/>
          <w:sz w:val="24"/>
          <w:szCs w:val="24"/>
        </w:rPr>
      </w:pPr>
      <w:r w:rsidRPr="00A019F7">
        <w:rPr>
          <w:rFonts w:ascii="Times New Roman" w:hAnsi="Times New Roman"/>
          <w:sz w:val="24"/>
          <w:szCs w:val="24"/>
        </w:rPr>
        <w:t xml:space="preserve">The acceptance criterion is maintaining the fatigue cumulative usage factor below the design limit through </w:t>
      </w:r>
      <w:r w:rsidR="001A4B37">
        <w:rPr>
          <w:rFonts w:ascii="Times New Roman" w:hAnsi="Times New Roman"/>
          <w:sz w:val="24"/>
          <w:szCs w:val="24"/>
        </w:rPr>
        <w:t>all plant operating periods</w:t>
      </w:r>
      <w:r w:rsidRPr="00A019F7">
        <w:rPr>
          <w:rFonts w:ascii="Times New Roman" w:hAnsi="Times New Roman"/>
          <w:sz w:val="24"/>
          <w:szCs w:val="24"/>
        </w:rPr>
        <w:t xml:space="preserve">, with consideration, where applicable, of the reactor coolant environmental fatigue effects mentioned in the </w:t>
      </w:r>
      <w:proofErr w:type="spellStart"/>
      <w:r w:rsidRPr="00A019F7">
        <w:rPr>
          <w:rFonts w:ascii="Times New Roman" w:hAnsi="Times New Roman"/>
          <w:sz w:val="24"/>
          <w:szCs w:val="24"/>
        </w:rPr>
        <w:t>programme</w:t>
      </w:r>
      <w:proofErr w:type="spellEnd"/>
      <w:r w:rsidRPr="00A019F7">
        <w:rPr>
          <w:rFonts w:ascii="Times New Roman" w:hAnsi="Times New Roman"/>
          <w:sz w:val="24"/>
          <w:szCs w:val="24"/>
        </w:rPr>
        <w:t xml:space="preserve"> description and scope of </w:t>
      </w:r>
      <w:proofErr w:type="spellStart"/>
      <w:r w:rsidRPr="00A019F7">
        <w:rPr>
          <w:rFonts w:ascii="Times New Roman" w:hAnsi="Times New Roman"/>
          <w:sz w:val="24"/>
          <w:szCs w:val="24"/>
        </w:rPr>
        <w:t>program</w:t>
      </w:r>
      <w:r w:rsidR="00C32497">
        <w:rPr>
          <w:rFonts w:ascii="Times New Roman" w:hAnsi="Times New Roman"/>
          <w:sz w:val="24"/>
          <w:szCs w:val="24"/>
        </w:rPr>
        <w:t>me</w:t>
      </w:r>
      <w:proofErr w:type="spellEnd"/>
      <w:r w:rsidRPr="00A019F7">
        <w:rPr>
          <w:rFonts w:ascii="Times New Roman" w:hAnsi="Times New Roman"/>
          <w:sz w:val="24"/>
          <w:szCs w:val="24"/>
        </w:rPr>
        <w:t>. Maintaining the CUF below the design limit is achieved by ensuring that cycle counts remain below design limits, operational transient loads are bounded by design transients, and the use of action limits to initiate corrective actions prior to exceeding the design limit.</w:t>
      </w:r>
      <w:r w:rsidR="00894D3A">
        <w:rPr>
          <w:rFonts w:ascii="Times New Roman" w:hAnsi="Times New Roman"/>
          <w:sz w:val="24"/>
          <w:szCs w:val="24"/>
        </w:rPr>
        <w:t xml:space="preserve"> For situations where the CUF </w:t>
      </w:r>
      <w:r w:rsidR="009E73D9">
        <w:rPr>
          <w:rFonts w:ascii="Times New Roman" w:hAnsi="Times New Roman"/>
          <w:sz w:val="24"/>
          <w:szCs w:val="24"/>
        </w:rPr>
        <w:t xml:space="preserve">may exceed 1.0, flaw tolerance evaluations such as Appendix L of the ASME Code </w:t>
      </w:r>
      <w:r w:rsidR="00B046B3">
        <w:rPr>
          <w:rFonts w:ascii="Times New Roman" w:hAnsi="Times New Roman"/>
          <w:sz w:val="24"/>
          <w:szCs w:val="24"/>
        </w:rPr>
        <w:t>[</w:t>
      </w:r>
      <w:r w:rsidR="00374C76">
        <w:rPr>
          <w:rFonts w:ascii="Times New Roman" w:hAnsi="Times New Roman"/>
          <w:sz w:val="24"/>
          <w:szCs w:val="24"/>
        </w:rPr>
        <w:t>21</w:t>
      </w:r>
      <w:r w:rsidR="009E73D9">
        <w:rPr>
          <w:rFonts w:ascii="Times New Roman" w:hAnsi="Times New Roman"/>
          <w:sz w:val="24"/>
          <w:szCs w:val="24"/>
        </w:rPr>
        <w:t>] may be used to assess continued acceptability.</w:t>
      </w:r>
    </w:p>
    <w:p w14:paraId="0A3C02C0" w14:textId="77777777" w:rsidR="00CC5E99" w:rsidRPr="00A019F7" w:rsidRDefault="00CC5E99" w:rsidP="003B39D9">
      <w:pPr>
        <w:pStyle w:val="Body"/>
        <w:tabs>
          <w:tab w:val="clear" w:pos="2520"/>
        </w:tabs>
        <w:ind w:left="0" w:firstLine="0"/>
        <w:jc w:val="both"/>
        <w:rPr>
          <w:rFonts w:ascii="Times New Roman" w:hAnsi="Times New Roman"/>
          <w:sz w:val="24"/>
          <w:szCs w:val="24"/>
        </w:rPr>
      </w:pPr>
    </w:p>
    <w:p w14:paraId="3B4241EA" w14:textId="77777777" w:rsidR="00D262E7" w:rsidRPr="00662B1D" w:rsidRDefault="00D262E7" w:rsidP="003B39D9">
      <w:pPr>
        <w:pStyle w:val="BodyNumbered"/>
        <w:numPr>
          <w:ilvl w:val="0"/>
          <w:numId w:val="7"/>
        </w:numPr>
        <w:tabs>
          <w:tab w:val="clear" w:pos="360"/>
          <w:tab w:val="num" w:pos="-2160"/>
          <w:tab w:val="left" w:pos="426"/>
        </w:tabs>
        <w:ind w:left="0" w:firstLine="0"/>
        <w:rPr>
          <w:rFonts w:ascii="Times New Roman" w:hAnsi="Times New Roman"/>
          <w:b/>
          <w:i/>
          <w:sz w:val="24"/>
          <w:szCs w:val="24"/>
        </w:rPr>
      </w:pPr>
      <w:r w:rsidRPr="00A019F7">
        <w:rPr>
          <w:rFonts w:ascii="Times New Roman" w:hAnsi="Times New Roman"/>
          <w:b/>
          <w:i/>
          <w:sz w:val="24"/>
          <w:szCs w:val="24"/>
        </w:rPr>
        <w:t>Corrective actions</w:t>
      </w:r>
      <w:r w:rsidR="004D08D4">
        <w:rPr>
          <w:rFonts w:ascii="Times New Roman" w:hAnsi="Times New Roman"/>
          <w:b/>
          <w:i/>
          <w:sz w:val="24"/>
          <w:szCs w:val="24"/>
        </w:rPr>
        <w:t>:</w:t>
      </w:r>
    </w:p>
    <w:p w14:paraId="77E77064" w14:textId="5164F83A" w:rsidR="00D262E7" w:rsidRPr="00471359" w:rsidRDefault="00D262E7" w:rsidP="003B39D9">
      <w:pPr>
        <w:pStyle w:val="Body"/>
        <w:tabs>
          <w:tab w:val="clear" w:pos="2520"/>
        </w:tabs>
        <w:ind w:left="0" w:firstLine="0"/>
        <w:jc w:val="both"/>
        <w:rPr>
          <w:rFonts w:ascii="Times New Roman" w:hAnsi="Times New Roman"/>
          <w:color w:val="FF0000"/>
          <w:sz w:val="24"/>
          <w:szCs w:val="24"/>
        </w:rPr>
      </w:pPr>
      <w:r w:rsidRPr="00471359">
        <w:rPr>
          <w:rFonts w:ascii="Times New Roman" w:hAnsi="Times New Roman"/>
          <w:color w:val="FF0000"/>
          <w:sz w:val="24"/>
          <w:szCs w:val="24"/>
        </w:rPr>
        <w:t xml:space="preserve">The </w:t>
      </w:r>
      <w:proofErr w:type="spellStart"/>
      <w:r w:rsidRPr="00471359">
        <w:rPr>
          <w:rFonts w:ascii="Times New Roman" w:hAnsi="Times New Roman"/>
          <w:color w:val="FF0000"/>
          <w:sz w:val="24"/>
          <w:szCs w:val="24"/>
        </w:rPr>
        <w:t>programme</w:t>
      </w:r>
      <w:proofErr w:type="spellEnd"/>
      <w:r w:rsidRPr="00471359">
        <w:rPr>
          <w:rFonts w:ascii="Times New Roman" w:hAnsi="Times New Roman"/>
          <w:color w:val="FF0000"/>
          <w:sz w:val="24"/>
          <w:szCs w:val="24"/>
        </w:rPr>
        <w:t xml:space="preserve"> provides for corrective actions to prevent the usage factor from exceeding the design code limit during </w:t>
      </w:r>
      <w:r w:rsidR="007565BE" w:rsidRPr="00471359">
        <w:rPr>
          <w:rFonts w:ascii="Times New Roman" w:hAnsi="Times New Roman"/>
          <w:color w:val="FF0000"/>
          <w:sz w:val="24"/>
          <w:szCs w:val="24"/>
        </w:rPr>
        <w:t>plant operating</w:t>
      </w:r>
      <w:r w:rsidRPr="00471359">
        <w:rPr>
          <w:rFonts w:ascii="Times New Roman" w:hAnsi="Times New Roman"/>
          <w:color w:val="FF0000"/>
          <w:sz w:val="24"/>
          <w:szCs w:val="24"/>
        </w:rPr>
        <w:t xml:space="preserve"> periods. Acceptable corrective actions may include repair or replacement of components, design modifications, revision of operating procedures</w:t>
      </w:r>
      <w:r w:rsidR="003B51AF" w:rsidRPr="00471359">
        <w:rPr>
          <w:rFonts w:ascii="Times New Roman" w:hAnsi="Times New Roman"/>
          <w:color w:val="FF0000"/>
          <w:sz w:val="24"/>
          <w:szCs w:val="24"/>
        </w:rPr>
        <w:t xml:space="preserve">, performance of </w:t>
      </w:r>
      <w:r w:rsidR="001D4C6F" w:rsidRPr="00471359">
        <w:rPr>
          <w:rFonts w:ascii="Times New Roman" w:hAnsi="Times New Roman"/>
          <w:color w:val="FF0000"/>
          <w:sz w:val="24"/>
          <w:szCs w:val="24"/>
        </w:rPr>
        <w:t>non-destructive examinations</w:t>
      </w:r>
      <w:r w:rsidR="003B51AF" w:rsidRPr="00471359">
        <w:rPr>
          <w:rFonts w:ascii="Times New Roman" w:hAnsi="Times New Roman"/>
          <w:color w:val="FF0000"/>
          <w:sz w:val="24"/>
          <w:szCs w:val="24"/>
        </w:rPr>
        <w:t xml:space="preserve"> supported by crack growth analysis</w:t>
      </w:r>
      <w:r w:rsidRPr="00471359">
        <w:rPr>
          <w:rFonts w:ascii="Times New Roman" w:hAnsi="Times New Roman"/>
          <w:color w:val="FF0000"/>
          <w:sz w:val="24"/>
          <w:szCs w:val="24"/>
        </w:rPr>
        <w:t xml:space="preserve">, and more rigorous analysis to demonstrate that the design code limit will not be exceeded during the </w:t>
      </w:r>
      <w:r w:rsidR="00D63522" w:rsidRPr="00471359">
        <w:rPr>
          <w:rFonts w:ascii="Times New Roman" w:hAnsi="Times New Roman"/>
          <w:color w:val="FF0000"/>
          <w:sz w:val="24"/>
          <w:szCs w:val="24"/>
        </w:rPr>
        <w:t>plant operating</w:t>
      </w:r>
      <w:r w:rsidRPr="00471359">
        <w:rPr>
          <w:rFonts w:ascii="Times New Roman" w:hAnsi="Times New Roman"/>
          <w:color w:val="FF0000"/>
          <w:sz w:val="24"/>
          <w:szCs w:val="24"/>
        </w:rPr>
        <w:t xml:space="preserve"> periods. </w:t>
      </w:r>
      <w:r w:rsidR="001D4C6F" w:rsidRPr="00471359">
        <w:rPr>
          <w:rFonts w:ascii="Times New Roman" w:hAnsi="Times New Roman"/>
          <w:color w:val="FF0000"/>
          <w:sz w:val="24"/>
          <w:szCs w:val="24"/>
        </w:rPr>
        <w:t xml:space="preserve">However, some guidelines, such as [20] for example, require non-destructive testing to confirm absence of cracking due to fatigue, for locations that have a CUF exceeding 0.8, i.e. prior to reaching the design code limit. </w:t>
      </w:r>
      <w:r w:rsidRPr="00471359">
        <w:rPr>
          <w:rFonts w:ascii="Times New Roman" w:hAnsi="Times New Roman"/>
          <w:color w:val="FF0000"/>
          <w:sz w:val="24"/>
          <w:szCs w:val="24"/>
        </w:rPr>
        <w:t xml:space="preserve">Scope expansion includes consideration of </w:t>
      </w:r>
      <w:r w:rsidRPr="00471359">
        <w:rPr>
          <w:rFonts w:ascii="Times New Roman" w:hAnsi="Times New Roman"/>
          <w:color w:val="FF0000"/>
          <w:sz w:val="24"/>
          <w:szCs w:val="24"/>
        </w:rPr>
        <w:lastRenderedPageBreak/>
        <w:t>additional transients or other locations, for example, with highest expected cumulative usage factors when considering environmental effects.</w:t>
      </w:r>
    </w:p>
    <w:p w14:paraId="04CFA9FD" w14:textId="77777777" w:rsidR="00CC5E99" w:rsidRPr="00A019F7" w:rsidRDefault="00CC5E99" w:rsidP="003B39D9">
      <w:pPr>
        <w:pStyle w:val="Body"/>
        <w:tabs>
          <w:tab w:val="clear" w:pos="2520"/>
        </w:tabs>
        <w:ind w:left="0" w:firstLine="0"/>
        <w:jc w:val="both"/>
        <w:rPr>
          <w:rFonts w:ascii="Times New Roman" w:hAnsi="Times New Roman"/>
          <w:sz w:val="24"/>
          <w:szCs w:val="24"/>
        </w:rPr>
      </w:pPr>
    </w:p>
    <w:p w14:paraId="2DB8F38D" w14:textId="77777777" w:rsidR="00D262E7" w:rsidRPr="00662B1D" w:rsidRDefault="00D262E7" w:rsidP="003B39D9">
      <w:pPr>
        <w:pStyle w:val="BodyNumbered"/>
        <w:numPr>
          <w:ilvl w:val="0"/>
          <w:numId w:val="7"/>
        </w:numPr>
        <w:tabs>
          <w:tab w:val="clear" w:pos="360"/>
          <w:tab w:val="num" w:pos="-2160"/>
          <w:tab w:val="left" w:pos="426"/>
        </w:tabs>
        <w:ind w:left="0" w:firstLine="0"/>
        <w:rPr>
          <w:rFonts w:ascii="Times New Roman" w:hAnsi="Times New Roman"/>
          <w:b/>
          <w:i/>
          <w:sz w:val="24"/>
          <w:szCs w:val="24"/>
        </w:rPr>
      </w:pPr>
      <w:r w:rsidRPr="00A019F7">
        <w:rPr>
          <w:rFonts w:ascii="Times New Roman" w:hAnsi="Times New Roman"/>
          <w:b/>
          <w:i/>
          <w:sz w:val="24"/>
          <w:szCs w:val="24"/>
        </w:rPr>
        <w:t>Operating experience feedback and feedback of research and development results</w:t>
      </w:r>
      <w:r w:rsidR="004D08D4">
        <w:rPr>
          <w:rFonts w:ascii="Times New Roman" w:hAnsi="Times New Roman"/>
          <w:b/>
          <w:i/>
          <w:sz w:val="24"/>
          <w:szCs w:val="24"/>
        </w:rPr>
        <w:t>:</w:t>
      </w:r>
    </w:p>
    <w:p w14:paraId="2B643B3F" w14:textId="77777777" w:rsidR="00BF1428" w:rsidRDefault="00BF1428" w:rsidP="003B39D9">
      <w:pPr>
        <w:pStyle w:val="Body"/>
        <w:tabs>
          <w:tab w:val="clear" w:pos="2520"/>
        </w:tabs>
        <w:ind w:left="0" w:firstLine="0"/>
        <w:jc w:val="both"/>
        <w:rPr>
          <w:rFonts w:ascii="Times New Roman" w:hAnsi="Times New Roman"/>
          <w:sz w:val="24"/>
          <w:szCs w:val="24"/>
        </w:rPr>
      </w:pPr>
      <w:r w:rsidRPr="00A70D35">
        <w:rPr>
          <w:rFonts w:ascii="Times New Roman" w:hAnsi="Times New Roman"/>
          <w:sz w:val="24"/>
          <w:szCs w:val="24"/>
        </w:rPr>
        <w:t>This AMP addresses the industry-wide generic experience. Relevant plant-specific operating experience is considered in the development of the plant AMP to ensure the AMP is adequate for the plant. The plant implements a feedback process to periodically evaluate plant and industry-wide operating experience and research and development (R&amp;D) results, and, as necessary, either modifies the plant AMP or takes additional actions (e.g. develop a new plant-specific AMP) to ensure the continued effectiveness of the ageing management.</w:t>
      </w:r>
    </w:p>
    <w:p w14:paraId="3F419D41" w14:textId="3343372D" w:rsidR="00D262E7" w:rsidRPr="00A019F7" w:rsidRDefault="008E76A9" w:rsidP="003B39D9">
      <w:pPr>
        <w:pStyle w:val="Body"/>
        <w:tabs>
          <w:tab w:val="clear" w:pos="2520"/>
        </w:tabs>
        <w:ind w:left="0" w:firstLine="0"/>
        <w:jc w:val="both"/>
        <w:rPr>
          <w:rFonts w:ascii="Times New Roman" w:hAnsi="Times New Roman"/>
          <w:sz w:val="24"/>
          <w:szCs w:val="24"/>
        </w:rPr>
      </w:pPr>
      <w:r w:rsidRPr="00A019F7">
        <w:rPr>
          <w:rFonts w:ascii="Times New Roman" w:hAnsi="Times New Roman"/>
          <w:sz w:val="24"/>
          <w:szCs w:val="24"/>
        </w:rPr>
        <w:t xml:space="preserve">Fatigue monitoring is a preventive </w:t>
      </w:r>
      <w:proofErr w:type="spellStart"/>
      <w:r w:rsidRPr="00A019F7">
        <w:rPr>
          <w:rFonts w:ascii="Times New Roman" w:hAnsi="Times New Roman"/>
          <w:sz w:val="24"/>
          <w:szCs w:val="24"/>
        </w:rPr>
        <w:t>programme</w:t>
      </w:r>
      <w:proofErr w:type="spellEnd"/>
      <w:r w:rsidRPr="00A019F7">
        <w:rPr>
          <w:rFonts w:ascii="Times New Roman" w:hAnsi="Times New Roman"/>
          <w:sz w:val="24"/>
          <w:szCs w:val="24"/>
        </w:rPr>
        <w:t xml:space="preserve"> and does not directly detect ageing effects</w:t>
      </w:r>
      <w:r w:rsidR="00F4489D">
        <w:rPr>
          <w:rFonts w:ascii="Times New Roman" w:hAnsi="Times New Roman"/>
          <w:sz w:val="24"/>
          <w:szCs w:val="24"/>
        </w:rPr>
        <w:t xml:space="preserve">. </w:t>
      </w:r>
      <w:r w:rsidR="00D262E7" w:rsidRPr="00A019F7">
        <w:rPr>
          <w:rFonts w:ascii="Times New Roman" w:hAnsi="Times New Roman"/>
          <w:sz w:val="24"/>
          <w:szCs w:val="24"/>
        </w:rPr>
        <w:t xml:space="preserve">The </w:t>
      </w:r>
      <w:proofErr w:type="spellStart"/>
      <w:r w:rsidR="00D262E7" w:rsidRPr="00A019F7">
        <w:rPr>
          <w:rFonts w:ascii="Times New Roman" w:hAnsi="Times New Roman"/>
          <w:sz w:val="24"/>
          <w:szCs w:val="24"/>
        </w:rPr>
        <w:t>programme</w:t>
      </w:r>
      <w:proofErr w:type="spellEnd"/>
      <w:r w:rsidR="00D262E7" w:rsidRPr="00A019F7">
        <w:rPr>
          <w:rFonts w:ascii="Times New Roman" w:hAnsi="Times New Roman"/>
          <w:sz w:val="24"/>
          <w:szCs w:val="24"/>
        </w:rPr>
        <w:t xml:space="preserve"> reviews industry experience relevant to fatigue. Applicable operating experience relevant to low cycle fatigue is to be considered in selecting transients and locations for monitoring.</w:t>
      </w:r>
      <w:r w:rsidR="00F4489D" w:rsidRPr="00F4489D">
        <w:rPr>
          <w:rFonts w:ascii="Times New Roman" w:hAnsi="Times New Roman"/>
          <w:sz w:val="24"/>
          <w:szCs w:val="24"/>
        </w:rPr>
        <w:t xml:space="preserve"> </w:t>
      </w:r>
      <w:r w:rsidR="00F4489D">
        <w:rPr>
          <w:rFonts w:ascii="Times New Roman" w:hAnsi="Times New Roman"/>
          <w:sz w:val="24"/>
          <w:szCs w:val="24"/>
        </w:rPr>
        <w:t xml:space="preserve">Unanticipated loadings such as </w:t>
      </w:r>
      <w:r w:rsidR="00D63522">
        <w:rPr>
          <w:rFonts w:ascii="Times New Roman" w:hAnsi="Times New Roman"/>
          <w:sz w:val="24"/>
          <w:szCs w:val="24"/>
        </w:rPr>
        <w:t xml:space="preserve">thermal </w:t>
      </w:r>
      <w:r w:rsidR="00F4489D">
        <w:rPr>
          <w:rFonts w:ascii="Times New Roman" w:hAnsi="Times New Roman"/>
          <w:sz w:val="24"/>
          <w:szCs w:val="24"/>
        </w:rPr>
        <w:t xml:space="preserve">stratification have been identified and have been used to update the </w:t>
      </w:r>
      <w:proofErr w:type="spellStart"/>
      <w:r w:rsidR="00F4489D">
        <w:rPr>
          <w:rFonts w:ascii="Times New Roman" w:hAnsi="Times New Roman"/>
          <w:sz w:val="24"/>
          <w:szCs w:val="24"/>
        </w:rPr>
        <w:t>program</w:t>
      </w:r>
      <w:r w:rsidR="00C32497">
        <w:rPr>
          <w:rFonts w:ascii="Times New Roman" w:hAnsi="Times New Roman"/>
          <w:sz w:val="24"/>
          <w:szCs w:val="24"/>
        </w:rPr>
        <w:t>me</w:t>
      </w:r>
      <w:r w:rsidR="00F4489D">
        <w:rPr>
          <w:rFonts w:ascii="Times New Roman" w:hAnsi="Times New Roman"/>
          <w:sz w:val="24"/>
          <w:szCs w:val="24"/>
        </w:rPr>
        <w:t>s</w:t>
      </w:r>
      <w:proofErr w:type="spellEnd"/>
      <w:r w:rsidR="00796AA8">
        <w:rPr>
          <w:rFonts w:ascii="Times New Roman" w:hAnsi="Times New Roman"/>
          <w:sz w:val="24"/>
          <w:szCs w:val="24"/>
        </w:rPr>
        <w:t xml:space="preserve"> [</w:t>
      </w:r>
      <w:r w:rsidR="00F2210A">
        <w:rPr>
          <w:rFonts w:ascii="Times New Roman" w:hAnsi="Times New Roman"/>
          <w:sz w:val="24"/>
          <w:szCs w:val="24"/>
        </w:rPr>
        <w:t>19</w:t>
      </w:r>
      <w:r w:rsidR="00B046B3">
        <w:rPr>
          <w:rFonts w:ascii="Times New Roman" w:hAnsi="Times New Roman"/>
          <w:sz w:val="24"/>
          <w:szCs w:val="24"/>
        </w:rPr>
        <w:t>,</w:t>
      </w:r>
      <w:r w:rsidR="000609DE">
        <w:rPr>
          <w:rFonts w:ascii="Times New Roman" w:hAnsi="Times New Roman"/>
          <w:sz w:val="24"/>
          <w:szCs w:val="24"/>
        </w:rPr>
        <w:t xml:space="preserve"> </w:t>
      </w:r>
      <w:r w:rsidR="00374C76">
        <w:rPr>
          <w:rFonts w:ascii="Times New Roman" w:hAnsi="Times New Roman"/>
          <w:sz w:val="24"/>
          <w:szCs w:val="24"/>
        </w:rPr>
        <w:t>22</w:t>
      </w:r>
      <w:r w:rsidR="004C3446">
        <w:rPr>
          <w:rFonts w:ascii="Times New Roman" w:hAnsi="Times New Roman"/>
          <w:sz w:val="24"/>
          <w:szCs w:val="24"/>
        </w:rPr>
        <w:t>]</w:t>
      </w:r>
      <w:r w:rsidR="00F4489D">
        <w:rPr>
          <w:rFonts w:ascii="Times New Roman" w:hAnsi="Times New Roman"/>
          <w:sz w:val="24"/>
          <w:szCs w:val="24"/>
        </w:rPr>
        <w:t>.</w:t>
      </w:r>
      <w:r w:rsidR="00A70D35">
        <w:rPr>
          <w:rFonts w:ascii="Times New Roman" w:hAnsi="Times New Roman"/>
          <w:sz w:val="24"/>
          <w:szCs w:val="24"/>
        </w:rPr>
        <w:t xml:space="preserve"> </w:t>
      </w:r>
      <w:r w:rsidR="00C949BD">
        <w:rPr>
          <w:rFonts w:ascii="Times New Roman" w:hAnsi="Times New Roman"/>
          <w:sz w:val="24"/>
          <w:szCs w:val="24"/>
        </w:rPr>
        <w:t>Operating e</w:t>
      </w:r>
      <w:r w:rsidR="00620570">
        <w:rPr>
          <w:rFonts w:ascii="Times New Roman" w:hAnsi="Times New Roman"/>
          <w:sz w:val="24"/>
          <w:szCs w:val="24"/>
        </w:rPr>
        <w:t xml:space="preserve">xperience </w:t>
      </w:r>
      <w:r w:rsidR="00947570">
        <w:rPr>
          <w:rFonts w:ascii="Times New Roman" w:hAnsi="Times New Roman"/>
          <w:sz w:val="24"/>
          <w:szCs w:val="24"/>
        </w:rPr>
        <w:t xml:space="preserve">in different countries </w:t>
      </w:r>
      <w:r w:rsidR="00620570">
        <w:rPr>
          <w:rFonts w:ascii="Times New Roman" w:hAnsi="Times New Roman"/>
          <w:sz w:val="24"/>
          <w:szCs w:val="24"/>
        </w:rPr>
        <w:t xml:space="preserve">regarding monitoring of </w:t>
      </w:r>
      <w:r w:rsidR="00947570">
        <w:rPr>
          <w:rFonts w:ascii="Times New Roman" w:hAnsi="Times New Roman"/>
          <w:sz w:val="24"/>
          <w:szCs w:val="24"/>
        </w:rPr>
        <w:t>transients</w:t>
      </w:r>
      <w:r w:rsidR="00620570">
        <w:rPr>
          <w:rFonts w:ascii="Times New Roman" w:hAnsi="Times New Roman"/>
          <w:sz w:val="24"/>
          <w:szCs w:val="24"/>
        </w:rPr>
        <w:t xml:space="preserve"> </w:t>
      </w:r>
      <w:r w:rsidR="00947570">
        <w:rPr>
          <w:rFonts w:ascii="Times New Roman" w:hAnsi="Times New Roman"/>
          <w:sz w:val="24"/>
          <w:szCs w:val="24"/>
        </w:rPr>
        <w:t xml:space="preserve">that were initially not in the plant’s design basis </w:t>
      </w:r>
      <w:r w:rsidR="00620570">
        <w:rPr>
          <w:rFonts w:ascii="Times New Roman" w:hAnsi="Times New Roman"/>
          <w:sz w:val="24"/>
          <w:szCs w:val="24"/>
        </w:rPr>
        <w:t xml:space="preserve">may be found in </w:t>
      </w:r>
      <w:r w:rsidR="009A29A2">
        <w:rPr>
          <w:rFonts w:ascii="Times New Roman" w:hAnsi="Times New Roman"/>
          <w:sz w:val="24"/>
          <w:szCs w:val="24"/>
        </w:rPr>
        <w:t>[</w:t>
      </w:r>
      <w:r w:rsidR="00374C76">
        <w:rPr>
          <w:rFonts w:ascii="Times New Roman" w:hAnsi="Times New Roman"/>
          <w:sz w:val="24"/>
          <w:szCs w:val="24"/>
        </w:rPr>
        <w:t>23</w:t>
      </w:r>
      <w:r w:rsidR="00B046B3">
        <w:rPr>
          <w:rFonts w:ascii="Times New Roman" w:hAnsi="Times New Roman"/>
          <w:sz w:val="24"/>
          <w:szCs w:val="24"/>
        </w:rPr>
        <w:t>-</w:t>
      </w:r>
      <w:r w:rsidR="00374C76">
        <w:rPr>
          <w:rFonts w:ascii="Times New Roman" w:hAnsi="Times New Roman"/>
          <w:sz w:val="24"/>
          <w:szCs w:val="24"/>
        </w:rPr>
        <w:t>28</w:t>
      </w:r>
      <w:r w:rsidR="00620570">
        <w:rPr>
          <w:rFonts w:ascii="Times New Roman" w:hAnsi="Times New Roman"/>
          <w:sz w:val="24"/>
          <w:szCs w:val="24"/>
        </w:rPr>
        <w:t>].</w:t>
      </w:r>
    </w:p>
    <w:p w14:paraId="533A9763" w14:textId="77777777" w:rsidR="00A70D35" w:rsidRDefault="00524F63" w:rsidP="003B39D9">
      <w:pPr>
        <w:pStyle w:val="Body"/>
        <w:tabs>
          <w:tab w:val="clear" w:pos="2520"/>
        </w:tabs>
        <w:ind w:left="0" w:firstLine="0"/>
        <w:jc w:val="both"/>
        <w:rPr>
          <w:rFonts w:ascii="Times New Roman" w:hAnsi="Times New Roman"/>
          <w:sz w:val="24"/>
          <w:szCs w:val="24"/>
        </w:rPr>
      </w:pPr>
      <w:r w:rsidRPr="003E7A4B">
        <w:rPr>
          <w:rFonts w:ascii="Times New Roman" w:eastAsia="Arial" w:hAnsi="Times New Roman"/>
          <w:sz w:val="24"/>
          <w:szCs w:val="24"/>
        </w:rPr>
        <w:t>At the time when this AMP was produced, no relevant R&amp;D was identified</w:t>
      </w:r>
      <w:r w:rsidR="00A70D35">
        <w:rPr>
          <w:rFonts w:ascii="Times New Roman" w:hAnsi="Times New Roman"/>
          <w:sz w:val="24"/>
          <w:szCs w:val="24"/>
        </w:rPr>
        <w:t>.</w:t>
      </w:r>
    </w:p>
    <w:p w14:paraId="09CE8377" w14:textId="77777777" w:rsidR="00524F63" w:rsidRDefault="00524F63" w:rsidP="003B39D9">
      <w:pPr>
        <w:pStyle w:val="Body"/>
        <w:tabs>
          <w:tab w:val="clear" w:pos="2520"/>
        </w:tabs>
        <w:ind w:left="0" w:firstLine="0"/>
        <w:jc w:val="both"/>
        <w:rPr>
          <w:rFonts w:ascii="Times New Roman" w:hAnsi="Times New Roman"/>
          <w:sz w:val="24"/>
          <w:szCs w:val="24"/>
        </w:rPr>
      </w:pPr>
    </w:p>
    <w:p w14:paraId="52961F2E" w14:textId="77777777" w:rsidR="00D262E7" w:rsidRPr="00662B1D" w:rsidRDefault="00D262E7" w:rsidP="003B39D9">
      <w:pPr>
        <w:pStyle w:val="BodyNumbered"/>
        <w:numPr>
          <w:ilvl w:val="0"/>
          <w:numId w:val="7"/>
        </w:numPr>
        <w:tabs>
          <w:tab w:val="clear" w:pos="360"/>
          <w:tab w:val="num" w:pos="-2160"/>
          <w:tab w:val="left" w:pos="426"/>
        </w:tabs>
        <w:ind w:left="0" w:firstLine="0"/>
        <w:rPr>
          <w:rFonts w:ascii="Times New Roman" w:hAnsi="Times New Roman"/>
          <w:b/>
          <w:i/>
          <w:sz w:val="24"/>
          <w:szCs w:val="24"/>
        </w:rPr>
      </w:pPr>
      <w:r w:rsidRPr="00A019F7">
        <w:rPr>
          <w:rFonts w:ascii="Times New Roman" w:hAnsi="Times New Roman"/>
          <w:b/>
          <w:i/>
          <w:sz w:val="24"/>
          <w:szCs w:val="24"/>
        </w:rPr>
        <w:t>Quality management</w:t>
      </w:r>
      <w:r w:rsidR="004D08D4">
        <w:rPr>
          <w:rFonts w:ascii="Times New Roman" w:hAnsi="Times New Roman"/>
          <w:b/>
          <w:i/>
          <w:sz w:val="24"/>
          <w:szCs w:val="24"/>
        </w:rPr>
        <w:t>:</w:t>
      </w:r>
    </w:p>
    <w:p w14:paraId="64371554" w14:textId="3E8E735D" w:rsidR="00D262E7" w:rsidRPr="00A019F7" w:rsidRDefault="00D262E7" w:rsidP="003B39D9">
      <w:pPr>
        <w:pStyle w:val="Body"/>
        <w:tabs>
          <w:tab w:val="clear" w:pos="2520"/>
        </w:tabs>
        <w:ind w:left="0" w:firstLine="0"/>
        <w:jc w:val="both"/>
        <w:rPr>
          <w:rFonts w:ascii="Times New Roman" w:hAnsi="Times New Roman"/>
          <w:sz w:val="24"/>
          <w:szCs w:val="24"/>
        </w:rPr>
      </w:pPr>
      <w:r w:rsidRPr="00A019F7">
        <w:rPr>
          <w:rFonts w:ascii="Times New Roman" w:hAnsi="Times New Roman"/>
          <w:sz w:val="24"/>
          <w:szCs w:val="24"/>
        </w:rPr>
        <w:t>Administrative controls, quality assurance procedures, review and approval processes, a</w:t>
      </w:r>
      <w:r w:rsidR="005B5C52">
        <w:rPr>
          <w:rFonts w:ascii="Times New Roman" w:hAnsi="Times New Roman"/>
          <w:sz w:val="24"/>
          <w:szCs w:val="24"/>
        </w:rPr>
        <w:t>re implemented in accordance with the different national regulatory requirements (e.g., 10 CFR 50, Appendix B</w:t>
      </w:r>
      <w:r w:rsidR="00021D8B">
        <w:rPr>
          <w:rFonts w:ascii="Times New Roman" w:hAnsi="Times New Roman"/>
          <w:sz w:val="24"/>
          <w:szCs w:val="24"/>
        </w:rPr>
        <w:t xml:space="preserve"> </w:t>
      </w:r>
      <w:r w:rsidR="00E23482">
        <w:rPr>
          <w:rFonts w:ascii="Times New Roman" w:hAnsi="Times New Roman"/>
          <w:sz w:val="24"/>
          <w:szCs w:val="24"/>
        </w:rPr>
        <w:t>[</w:t>
      </w:r>
      <w:r w:rsidR="00374C76">
        <w:rPr>
          <w:rFonts w:ascii="Times New Roman" w:hAnsi="Times New Roman"/>
          <w:sz w:val="24"/>
          <w:szCs w:val="24"/>
        </w:rPr>
        <w:t>29</w:t>
      </w:r>
      <w:r w:rsidR="00E23482">
        <w:rPr>
          <w:rFonts w:ascii="Times New Roman" w:hAnsi="Times New Roman"/>
          <w:sz w:val="24"/>
          <w:szCs w:val="24"/>
        </w:rPr>
        <w:t>]).</w:t>
      </w:r>
    </w:p>
    <w:p w14:paraId="303A2DC1" w14:textId="77777777" w:rsidR="00FA5A18" w:rsidRDefault="00FA5A18" w:rsidP="003B39D9">
      <w:pPr>
        <w:pStyle w:val="Heading3"/>
        <w:spacing w:before="120"/>
        <w:rPr>
          <w:rFonts w:ascii="Times New Roman" w:hAnsi="Times New Roman"/>
          <w:sz w:val="24"/>
          <w:szCs w:val="24"/>
        </w:rPr>
      </w:pPr>
    </w:p>
    <w:p w14:paraId="42FA10B7" w14:textId="77777777" w:rsidR="00D262E7" w:rsidRPr="00A019F7" w:rsidRDefault="00D262E7" w:rsidP="003B39D9">
      <w:pPr>
        <w:pStyle w:val="Heading3"/>
        <w:spacing w:before="120"/>
        <w:rPr>
          <w:rFonts w:ascii="Times New Roman" w:hAnsi="Times New Roman"/>
          <w:sz w:val="24"/>
          <w:szCs w:val="24"/>
        </w:rPr>
      </w:pPr>
      <w:r w:rsidRPr="00A019F7">
        <w:rPr>
          <w:rFonts w:ascii="Times New Roman" w:hAnsi="Times New Roman"/>
          <w:sz w:val="24"/>
          <w:szCs w:val="24"/>
        </w:rPr>
        <w:t>References</w:t>
      </w:r>
    </w:p>
    <w:p w14:paraId="0E6020E3" w14:textId="77777777" w:rsidR="00D262E7" w:rsidRPr="00A019F7" w:rsidRDefault="00D262E7" w:rsidP="003B39D9">
      <w:pPr>
        <w:pStyle w:val="References"/>
        <w:tabs>
          <w:tab w:val="left" w:pos="900"/>
        </w:tabs>
        <w:ind w:left="567" w:hanging="567"/>
        <w:jc w:val="both"/>
        <w:rPr>
          <w:rFonts w:ascii="Times New Roman" w:hAnsi="Times New Roman" w:cs="Times New Roman"/>
          <w:sz w:val="24"/>
          <w:szCs w:val="24"/>
        </w:rPr>
      </w:pPr>
      <w:r w:rsidRPr="00A019F7">
        <w:rPr>
          <w:rFonts w:ascii="Times New Roman" w:hAnsi="Times New Roman" w:cs="Times New Roman"/>
          <w:sz w:val="24"/>
          <w:szCs w:val="24"/>
        </w:rPr>
        <w:t>[1]</w:t>
      </w:r>
      <w:r w:rsidRPr="00A019F7">
        <w:rPr>
          <w:rFonts w:ascii="Times New Roman" w:hAnsi="Times New Roman" w:cs="Times New Roman"/>
          <w:sz w:val="24"/>
          <w:szCs w:val="24"/>
        </w:rPr>
        <w:tab/>
      </w:r>
      <w:r w:rsidR="00545AA3">
        <w:rPr>
          <w:rFonts w:ascii="Times New Roman" w:hAnsi="Times New Roman" w:cs="Times New Roman"/>
          <w:sz w:val="24"/>
          <w:szCs w:val="24"/>
        </w:rPr>
        <w:t xml:space="preserve">UNITED STATES NUCLEAR REGULATORY COMMISSION, </w:t>
      </w:r>
      <w:r w:rsidRPr="00A019F7">
        <w:rPr>
          <w:rFonts w:ascii="Times New Roman" w:hAnsi="Times New Roman" w:cs="Times New Roman"/>
          <w:sz w:val="24"/>
          <w:szCs w:val="24"/>
        </w:rPr>
        <w:t xml:space="preserve">Generic Aging Lessons Learned (GALL) Report, </w:t>
      </w:r>
      <w:r w:rsidR="00545AA3">
        <w:rPr>
          <w:rFonts w:ascii="Times New Roman" w:hAnsi="Times New Roman" w:cs="Times New Roman"/>
          <w:sz w:val="24"/>
          <w:szCs w:val="24"/>
        </w:rPr>
        <w:t>NUREG-1801</w:t>
      </w:r>
      <w:r w:rsidRPr="00A019F7">
        <w:rPr>
          <w:rFonts w:ascii="Times New Roman" w:hAnsi="Times New Roman" w:cs="Times New Roman"/>
          <w:sz w:val="24"/>
          <w:szCs w:val="24"/>
        </w:rPr>
        <w:t xml:space="preserve">, Revision 2, </w:t>
      </w:r>
      <w:r w:rsidR="00545AA3">
        <w:rPr>
          <w:rFonts w:ascii="Times New Roman" w:hAnsi="Times New Roman" w:cs="Times New Roman"/>
          <w:sz w:val="24"/>
          <w:szCs w:val="24"/>
        </w:rPr>
        <w:t xml:space="preserve">USNRC, </w:t>
      </w:r>
      <w:r w:rsidRPr="00A019F7">
        <w:rPr>
          <w:rFonts w:ascii="Times New Roman" w:hAnsi="Times New Roman" w:cs="Times New Roman"/>
          <w:sz w:val="24"/>
          <w:szCs w:val="24"/>
        </w:rPr>
        <w:t>December 2010</w:t>
      </w:r>
    </w:p>
    <w:p w14:paraId="18DA673B" w14:textId="77777777" w:rsidR="00B046B3" w:rsidRDefault="00765CC4" w:rsidP="003B39D9">
      <w:pPr>
        <w:pStyle w:val="References"/>
        <w:tabs>
          <w:tab w:val="left" w:pos="900"/>
        </w:tabs>
        <w:ind w:left="567" w:hanging="567"/>
        <w:jc w:val="both"/>
        <w:rPr>
          <w:rFonts w:ascii="Times New Roman" w:hAnsi="Times New Roman" w:cs="Times New Roman"/>
          <w:sz w:val="24"/>
          <w:szCs w:val="24"/>
        </w:rPr>
      </w:pPr>
      <w:r w:rsidRPr="00A019F7">
        <w:rPr>
          <w:rFonts w:ascii="Times New Roman" w:hAnsi="Times New Roman" w:cs="Times New Roman"/>
          <w:sz w:val="24"/>
          <w:szCs w:val="24"/>
        </w:rPr>
        <w:t>[</w:t>
      </w:r>
      <w:r w:rsidR="00E664DC">
        <w:rPr>
          <w:rFonts w:ascii="Times New Roman" w:hAnsi="Times New Roman" w:cs="Times New Roman"/>
          <w:sz w:val="24"/>
          <w:szCs w:val="24"/>
        </w:rPr>
        <w:t>2</w:t>
      </w:r>
      <w:r w:rsidRPr="00A019F7">
        <w:rPr>
          <w:rFonts w:ascii="Times New Roman" w:hAnsi="Times New Roman" w:cs="Times New Roman"/>
          <w:sz w:val="24"/>
          <w:szCs w:val="24"/>
        </w:rPr>
        <w:t>]</w:t>
      </w:r>
      <w:r w:rsidRPr="00A019F7">
        <w:rPr>
          <w:rFonts w:ascii="Times New Roman" w:hAnsi="Times New Roman" w:cs="Times New Roman"/>
          <w:sz w:val="24"/>
          <w:szCs w:val="24"/>
        </w:rPr>
        <w:tab/>
      </w:r>
      <w:r w:rsidR="00B046B3">
        <w:rPr>
          <w:rFonts w:ascii="Times New Roman" w:hAnsi="Times New Roman" w:cs="Times New Roman"/>
          <w:sz w:val="24"/>
          <w:szCs w:val="24"/>
        </w:rPr>
        <w:t xml:space="preserve">UNITED STATES NUCLEAR REGULATORY COMMISSION, </w:t>
      </w:r>
      <w:r w:rsidR="00B046B3" w:rsidRPr="00A019F7">
        <w:rPr>
          <w:rFonts w:ascii="Times New Roman" w:hAnsi="Times New Roman" w:cs="Times New Roman"/>
          <w:sz w:val="24"/>
          <w:szCs w:val="24"/>
        </w:rPr>
        <w:t xml:space="preserve">Generic Aging Lessons Learned </w:t>
      </w:r>
      <w:proofErr w:type="gramStart"/>
      <w:r w:rsidR="00B046B3">
        <w:rPr>
          <w:rFonts w:ascii="Times New Roman" w:hAnsi="Times New Roman" w:cs="Times New Roman"/>
          <w:sz w:val="24"/>
          <w:szCs w:val="24"/>
        </w:rPr>
        <w:t>For</w:t>
      </w:r>
      <w:proofErr w:type="gramEnd"/>
      <w:r w:rsidR="00B046B3">
        <w:rPr>
          <w:rFonts w:ascii="Times New Roman" w:hAnsi="Times New Roman" w:cs="Times New Roman"/>
          <w:sz w:val="24"/>
          <w:szCs w:val="24"/>
        </w:rPr>
        <w:t xml:space="preserve"> Subsequent License Renewal </w:t>
      </w:r>
      <w:r w:rsidR="00B046B3" w:rsidRPr="00A019F7">
        <w:rPr>
          <w:rFonts w:ascii="Times New Roman" w:hAnsi="Times New Roman" w:cs="Times New Roman"/>
          <w:sz w:val="24"/>
          <w:szCs w:val="24"/>
        </w:rPr>
        <w:t>(GALL</w:t>
      </w:r>
      <w:r w:rsidR="00B046B3">
        <w:rPr>
          <w:rFonts w:ascii="Times New Roman" w:hAnsi="Times New Roman" w:cs="Times New Roman"/>
          <w:sz w:val="24"/>
          <w:szCs w:val="24"/>
        </w:rPr>
        <w:t>-SLR</w:t>
      </w:r>
      <w:r w:rsidR="00B046B3" w:rsidRPr="00A019F7">
        <w:rPr>
          <w:rFonts w:ascii="Times New Roman" w:hAnsi="Times New Roman" w:cs="Times New Roman"/>
          <w:sz w:val="24"/>
          <w:szCs w:val="24"/>
        </w:rPr>
        <w:t xml:space="preserve">) Report, </w:t>
      </w:r>
      <w:r w:rsidR="00B046B3">
        <w:rPr>
          <w:rFonts w:ascii="Times New Roman" w:hAnsi="Times New Roman" w:cs="Times New Roman"/>
          <w:sz w:val="24"/>
          <w:szCs w:val="24"/>
        </w:rPr>
        <w:t>NUREG-2191</w:t>
      </w:r>
      <w:r w:rsidR="00433B0A">
        <w:rPr>
          <w:rFonts w:ascii="Times New Roman" w:hAnsi="Times New Roman" w:cs="Times New Roman"/>
          <w:sz w:val="24"/>
          <w:szCs w:val="24"/>
        </w:rPr>
        <w:t>,</w:t>
      </w:r>
      <w:r w:rsidR="00B046B3" w:rsidRPr="00A019F7">
        <w:rPr>
          <w:rFonts w:ascii="Times New Roman" w:hAnsi="Times New Roman" w:cs="Times New Roman"/>
          <w:sz w:val="24"/>
          <w:szCs w:val="24"/>
        </w:rPr>
        <w:t xml:space="preserve"> </w:t>
      </w:r>
      <w:r w:rsidR="00B046B3">
        <w:rPr>
          <w:rFonts w:ascii="Times New Roman" w:hAnsi="Times New Roman" w:cs="Times New Roman"/>
          <w:sz w:val="24"/>
          <w:szCs w:val="24"/>
        </w:rPr>
        <w:t xml:space="preserve">USNRC, </w:t>
      </w:r>
      <w:r w:rsidR="007E20EA">
        <w:rPr>
          <w:rFonts w:ascii="Times New Roman" w:hAnsi="Times New Roman" w:cs="Times New Roman"/>
          <w:sz w:val="24"/>
          <w:szCs w:val="24"/>
        </w:rPr>
        <w:t>July</w:t>
      </w:r>
      <w:r w:rsidR="00B046B3">
        <w:rPr>
          <w:rFonts w:ascii="Times New Roman" w:hAnsi="Times New Roman" w:cs="Times New Roman"/>
          <w:sz w:val="24"/>
          <w:szCs w:val="24"/>
        </w:rPr>
        <w:t xml:space="preserve"> 2017</w:t>
      </w:r>
    </w:p>
    <w:p w14:paraId="0DB6EFD8" w14:textId="77777777" w:rsidR="00765CC4" w:rsidRPr="00A019F7" w:rsidRDefault="00433B0A" w:rsidP="003B39D9">
      <w:pPr>
        <w:pStyle w:val="References"/>
        <w:tabs>
          <w:tab w:val="left" w:pos="900"/>
        </w:tabs>
        <w:ind w:left="567" w:hanging="567"/>
        <w:jc w:val="both"/>
        <w:rPr>
          <w:rFonts w:ascii="Times New Roman" w:hAnsi="Times New Roman" w:cs="Times New Roman"/>
          <w:sz w:val="24"/>
          <w:szCs w:val="24"/>
        </w:rPr>
      </w:pPr>
      <w:r>
        <w:rPr>
          <w:rFonts w:ascii="Times New Roman" w:hAnsi="Times New Roman" w:cs="Times New Roman"/>
          <w:sz w:val="24"/>
          <w:szCs w:val="24"/>
        </w:rPr>
        <w:t>[3]</w:t>
      </w:r>
      <w:r w:rsidR="00BD0C5A">
        <w:rPr>
          <w:rFonts w:ascii="Times New Roman" w:hAnsi="Times New Roman" w:cs="Times New Roman"/>
          <w:sz w:val="24"/>
          <w:szCs w:val="24"/>
        </w:rPr>
        <w:tab/>
      </w:r>
      <w:r w:rsidR="00765CC4" w:rsidRPr="00A019F7">
        <w:rPr>
          <w:rFonts w:ascii="Times New Roman" w:hAnsi="Times New Roman" w:cs="Times New Roman"/>
          <w:sz w:val="24"/>
          <w:szCs w:val="24"/>
        </w:rPr>
        <w:t>INTERNATIONAL ATOMIC ENERGY AGENCY, Assessment and Management of Ageing of Major Nuclear Power Plant Components Important to Safety: PWR Pressure Vessels, IAEA-TECDOC-1556, IAEA, Vienna</w:t>
      </w:r>
      <w:r w:rsidR="00FE5466">
        <w:rPr>
          <w:rFonts w:ascii="Times New Roman" w:hAnsi="Times New Roman" w:cs="Times New Roman"/>
          <w:sz w:val="24"/>
          <w:szCs w:val="24"/>
        </w:rPr>
        <w:t>,</w:t>
      </w:r>
      <w:r w:rsidR="00765CC4" w:rsidRPr="00A019F7">
        <w:rPr>
          <w:rFonts w:ascii="Times New Roman" w:hAnsi="Times New Roman" w:cs="Times New Roman"/>
          <w:sz w:val="24"/>
          <w:szCs w:val="24"/>
        </w:rPr>
        <w:t xml:space="preserve"> June 2007</w:t>
      </w:r>
    </w:p>
    <w:p w14:paraId="3E1BE7CB" w14:textId="77777777" w:rsidR="00765CC4" w:rsidRPr="00A019F7" w:rsidRDefault="00765CC4" w:rsidP="003B39D9">
      <w:pPr>
        <w:pStyle w:val="References"/>
        <w:tabs>
          <w:tab w:val="left" w:pos="900"/>
        </w:tabs>
        <w:ind w:left="567" w:hanging="567"/>
        <w:jc w:val="both"/>
        <w:rPr>
          <w:rFonts w:ascii="Times New Roman" w:hAnsi="Times New Roman" w:cs="Times New Roman"/>
          <w:sz w:val="24"/>
          <w:szCs w:val="24"/>
        </w:rPr>
      </w:pPr>
      <w:r w:rsidRPr="00A019F7">
        <w:rPr>
          <w:rFonts w:ascii="Times New Roman" w:hAnsi="Times New Roman" w:cs="Times New Roman"/>
          <w:sz w:val="24"/>
          <w:szCs w:val="24"/>
        </w:rPr>
        <w:t>[</w:t>
      </w:r>
      <w:r w:rsidR="00B046B3">
        <w:rPr>
          <w:rFonts w:ascii="Times New Roman" w:hAnsi="Times New Roman" w:cs="Times New Roman"/>
          <w:sz w:val="24"/>
          <w:szCs w:val="24"/>
        </w:rPr>
        <w:t>4</w:t>
      </w:r>
      <w:r w:rsidRPr="00A019F7">
        <w:rPr>
          <w:rFonts w:ascii="Times New Roman" w:hAnsi="Times New Roman" w:cs="Times New Roman"/>
          <w:sz w:val="24"/>
          <w:szCs w:val="24"/>
        </w:rPr>
        <w:t>]</w:t>
      </w:r>
      <w:r w:rsidRPr="00A019F7">
        <w:rPr>
          <w:rFonts w:ascii="Times New Roman" w:hAnsi="Times New Roman" w:cs="Times New Roman"/>
          <w:sz w:val="24"/>
          <w:szCs w:val="24"/>
        </w:rPr>
        <w:tab/>
        <w:t>INTERNATIONAL ATOMIC ENERGY AGENCY, Assessment and management of ageing of major nuclear power plant components important to safety: BWR pressure vessel, IAEA-TECDOC-1470, IAEA, Vienna</w:t>
      </w:r>
      <w:r w:rsidR="00545AA3">
        <w:rPr>
          <w:rFonts w:ascii="Times New Roman" w:hAnsi="Times New Roman" w:cs="Times New Roman"/>
          <w:sz w:val="24"/>
          <w:szCs w:val="24"/>
        </w:rPr>
        <w:t>,</w:t>
      </w:r>
      <w:r w:rsidRPr="00A019F7">
        <w:rPr>
          <w:rFonts w:ascii="Times New Roman" w:hAnsi="Times New Roman" w:cs="Times New Roman"/>
          <w:sz w:val="24"/>
          <w:szCs w:val="24"/>
        </w:rPr>
        <w:t xml:space="preserve"> October 2005</w:t>
      </w:r>
    </w:p>
    <w:p w14:paraId="4F9824AC" w14:textId="77777777" w:rsidR="00765CC4" w:rsidRPr="00A019F7" w:rsidRDefault="00765CC4" w:rsidP="003B39D9">
      <w:pPr>
        <w:pStyle w:val="References"/>
        <w:tabs>
          <w:tab w:val="left" w:pos="900"/>
        </w:tabs>
        <w:ind w:left="567" w:hanging="567"/>
        <w:jc w:val="both"/>
        <w:rPr>
          <w:rFonts w:ascii="Times New Roman" w:hAnsi="Times New Roman" w:cs="Times New Roman"/>
          <w:sz w:val="24"/>
          <w:szCs w:val="24"/>
        </w:rPr>
      </w:pPr>
      <w:r w:rsidRPr="00A019F7">
        <w:rPr>
          <w:rFonts w:ascii="Times New Roman" w:hAnsi="Times New Roman" w:cs="Times New Roman"/>
          <w:sz w:val="24"/>
          <w:szCs w:val="24"/>
        </w:rPr>
        <w:t>[</w:t>
      </w:r>
      <w:r w:rsidR="00B046B3">
        <w:rPr>
          <w:rFonts w:ascii="Times New Roman" w:hAnsi="Times New Roman" w:cs="Times New Roman"/>
          <w:sz w:val="24"/>
          <w:szCs w:val="24"/>
        </w:rPr>
        <w:t>5</w:t>
      </w:r>
      <w:r w:rsidRPr="00A019F7">
        <w:rPr>
          <w:rFonts w:ascii="Times New Roman" w:hAnsi="Times New Roman" w:cs="Times New Roman"/>
          <w:sz w:val="24"/>
          <w:szCs w:val="24"/>
        </w:rPr>
        <w:t>]</w:t>
      </w:r>
      <w:r w:rsidRPr="00A019F7">
        <w:rPr>
          <w:rFonts w:ascii="Times New Roman" w:hAnsi="Times New Roman" w:cs="Times New Roman"/>
          <w:sz w:val="24"/>
          <w:szCs w:val="24"/>
        </w:rPr>
        <w:tab/>
        <w:t>INTERNATIONAL ATOMIC ENERGY AGENCY, Assessment and management of ageing of major nuclear power plant components important to safety: Primary piping in PWRs, IAEA-TECDOC-1361,</w:t>
      </w:r>
      <w:r w:rsidR="00545AA3">
        <w:rPr>
          <w:rFonts w:ascii="Times New Roman" w:hAnsi="Times New Roman" w:cs="Times New Roman"/>
          <w:sz w:val="24"/>
          <w:szCs w:val="24"/>
        </w:rPr>
        <w:t xml:space="preserve"> IAEA, Vienna, July 2003</w:t>
      </w:r>
    </w:p>
    <w:p w14:paraId="1AC3B0BB" w14:textId="77777777" w:rsidR="00765CC4" w:rsidRPr="00A019F7" w:rsidRDefault="00765CC4" w:rsidP="003B39D9">
      <w:pPr>
        <w:pStyle w:val="References"/>
        <w:tabs>
          <w:tab w:val="left" w:pos="900"/>
        </w:tabs>
        <w:ind w:left="567" w:hanging="567"/>
        <w:jc w:val="both"/>
        <w:rPr>
          <w:rFonts w:ascii="Times New Roman" w:hAnsi="Times New Roman" w:cs="Times New Roman"/>
          <w:sz w:val="24"/>
          <w:szCs w:val="24"/>
        </w:rPr>
      </w:pPr>
      <w:r w:rsidRPr="00A019F7">
        <w:rPr>
          <w:rFonts w:ascii="Times New Roman" w:hAnsi="Times New Roman" w:cs="Times New Roman"/>
          <w:sz w:val="24"/>
          <w:szCs w:val="24"/>
        </w:rPr>
        <w:t>[</w:t>
      </w:r>
      <w:r w:rsidR="00B046B3">
        <w:rPr>
          <w:rFonts w:ascii="Times New Roman" w:hAnsi="Times New Roman" w:cs="Times New Roman"/>
          <w:sz w:val="24"/>
          <w:szCs w:val="24"/>
        </w:rPr>
        <w:t>6</w:t>
      </w:r>
      <w:r w:rsidRPr="00A019F7">
        <w:rPr>
          <w:rFonts w:ascii="Times New Roman" w:hAnsi="Times New Roman" w:cs="Times New Roman"/>
          <w:sz w:val="24"/>
          <w:szCs w:val="24"/>
        </w:rPr>
        <w:t>]</w:t>
      </w:r>
      <w:r w:rsidRPr="00A019F7">
        <w:rPr>
          <w:rFonts w:ascii="Times New Roman" w:hAnsi="Times New Roman" w:cs="Times New Roman"/>
          <w:sz w:val="24"/>
          <w:szCs w:val="24"/>
        </w:rPr>
        <w:tab/>
        <w:t>INTERNATIONAL ATOMIC ENERGY AGENCY, Assessment and management of ageing of major nuclear power plant components important to safety: Steam generators, IAEA-TECDOC-981, IAEA, Vienna</w:t>
      </w:r>
      <w:r w:rsidR="00545AA3">
        <w:rPr>
          <w:rFonts w:ascii="Times New Roman" w:hAnsi="Times New Roman" w:cs="Times New Roman"/>
          <w:sz w:val="24"/>
          <w:szCs w:val="24"/>
        </w:rPr>
        <w:t>,</w:t>
      </w:r>
      <w:r w:rsidRPr="00A019F7">
        <w:rPr>
          <w:rFonts w:ascii="Times New Roman" w:hAnsi="Times New Roman" w:cs="Times New Roman"/>
          <w:sz w:val="24"/>
          <w:szCs w:val="24"/>
        </w:rPr>
        <w:t xml:space="preserve"> 1997</w:t>
      </w:r>
    </w:p>
    <w:p w14:paraId="605FAC08" w14:textId="77777777" w:rsidR="00765CC4" w:rsidRDefault="00765CC4" w:rsidP="003B39D9">
      <w:pPr>
        <w:pStyle w:val="References"/>
        <w:tabs>
          <w:tab w:val="left" w:pos="900"/>
        </w:tabs>
        <w:ind w:left="567" w:hanging="567"/>
        <w:jc w:val="both"/>
        <w:rPr>
          <w:rFonts w:ascii="Times New Roman" w:hAnsi="Times New Roman" w:cs="Times New Roman"/>
          <w:sz w:val="24"/>
          <w:szCs w:val="24"/>
        </w:rPr>
      </w:pPr>
      <w:r w:rsidRPr="00323C2C">
        <w:rPr>
          <w:rFonts w:ascii="Times New Roman" w:hAnsi="Times New Roman" w:cs="Times New Roman"/>
          <w:sz w:val="24"/>
          <w:szCs w:val="24"/>
        </w:rPr>
        <w:lastRenderedPageBreak/>
        <w:t>[</w:t>
      </w:r>
      <w:r w:rsidR="00B046B3">
        <w:rPr>
          <w:rFonts w:ascii="Times New Roman" w:hAnsi="Times New Roman" w:cs="Times New Roman"/>
          <w:sz w:val="24"/>
          <w:szCs w:val="24"/>
        </w:rPr>
        <w:t>7</w:t>
      </w:r>
      <w:r w:rsidRPr="00323C2C">
        <w:rPr>
          <w:rFonts w:ascii="Times New Roman" w:hAnsi="Times New Roman" w:cs="Times New Roman"/>
          <w:sz w:val="24"/>
          <w:szCs w:val="24"/>
        </w:rPr>
        <w:t>]</w:t>
      </w:r>
      <w:r w:rsidRPr="00323C2C">
        <w:rPr>
          <w:rFonts w:ascii="Times New Roman" w:hAnsi="Times New Roman" w:cs="Times New Roman"/>
          <w:sz w:val="24"/>
          <w:szCs w:val="24"/>
        </w:rPr>
        <w:tab/>
        <w:t>INTERNATIONAL ATOMIC ENERGY AGENCY, Assessment and management of ageing of major nuclear power plant components important to safety: BWR pressure vessel internals, IAEA-TECDOC-1471, IAEA, Vienna</w:t>
      </w:r>
      <w:r w:rsidR="00545AA3">
        <w:rPr>
          <w:rFonts w:ascii="Times New Roman" w:hAnsi="Times New Roman" w:cs="Times New Roman"/>
          <w:sz w:val="24"/>
          <w:szCs w:val="24"/>
        </w:rPr>
        <w:t xml:space="preserve">, </w:t>
      </w:r>
      <w:r w:rsidRPr="00323C2C">
        <w:rPr>
          <w:rFonts w:ascii="Times New Roman" w:hAnsi="Times New Roman" w:cs="Times New Roman"/>
          <w:sz w:val="24"/>
          <w:szCs w:val="24"/>
        </w:rPr>
        <w:t>2005</w:t>
      </w:r>
    </w:p>
    <w:p w14:paraId="51578E4A" w14:textId="77777777" w:rsidR="0054424F" w:rsidRDefault="0054424F" w:rsidP="003B39D9">
      <w:pPr>
        <w:pStyle w:val="References"/>
        <w:tabs>
          <w:tab w:val="left" w:pos="900"/>
        </w:tabs>
        <w:ind w:left="567" w:hanging="567"/>
        <w:jc w:val="both"/>
        <w:rPr>
          <w:rFonts w:ascii="Times New Roman" w:hAnsi="Times New Roman" w:cs="Times New Roman"/>
          <w:sz w:val="24"/>
          <w:szCs w:val="24"/>
        </w:rPr>
      </w:pPr>
      <w:r>
        <w:rPr>
          <w:rFonts w:ascii="Times New Roman" w:hAnsi="Times New Roman" w:cs="Times New Roman"/>
          <w:sz w:val="24"/>
          <w:szCs w:val="24"/>
        </w:rPr>
        <w:t>[</w:t>
      </w:r>
      <w:r w:rsidR="00B046B3">
        <w:rPr>
          <w:rFonts w:ascii="Times New Roman" w:hAnsi="Times New Roman" w:cs="Times New Roman"/>
          <w:sz w:val="24"/>
          <w:szCs w:val="24"/>
        </w:rPr>
        <w:t>8</w:t>
      </w:r>
      <w:r>
        <w:rPr>
          <w:rFonts w:ascii="Times New Roman" w:hAnsi="Times New Roman" w:cs="Times New Roman"/>
          <w:sz w:val="24"/>
          <w:szCs w:val="24"/>
        </w:rPr>
        <w:t>]</w:t>
      </w:r>
      <w:r>
        <w:rPr>
          <w:rFonts w:ascii="Times New Roman" w:hAnsi="Times New Roman" w:cs="Times New Roman"/>
          <w:sz w:val="24"/>
          <w:szCs w:val="24"/>
        </w:rPr>
        <w:tab/>
      </w:r>
      <w:r w:rsidRPr="009A3BDE">
        <w:rPr>
          <w:rFonts w:ascii="Times New Roman" w:hAnsi="Times New Roman"/>
          <w:sz w:val="24"/>
          <w:szCs w:val="24"/>
        </w:rPr>
        <w:t xml:space="preserve">Atomic Energy Society of Japan, Code on Implementation and Review of Nuclear Power Plant Ageing Management Programs 2015, </w:t>
      </w:r>
      <w:r w:rsidRPr="005267FC">
        <w:rPr>
          <w:rFonts w:ascii="Times New Roman" w:hAnsi="Times New Roman"/>
          <w:sz w:val="24"/>
          <w:szCs w:val="24"/>
        </w:rPr>
        <w:t>AESJ-SC- P005: 20</w:t>
      </w:r>
      <w:r>
        <w:rPr>
          <w:rFonts w:ascii="Times New Roman" w:hAnsi="Times New Roman" w:hint="eastAsia"/>
          <w:sz w:val="24"/>
          <w:szCs w:val="24"/>
        </w:rPr>
        <w:t xml:space="preserve">15, </w:t>
      </w:r>
      <w:r w:rsidRPr="009A3BDE">
        <w:rPr>
          <w:rFonts w:ascii="Times New Roman" w:hAnsi="Times New Roman"/>
          <w:sz w:val="24"/>
          <w:szCs w:val="24"/>
        </w:rPr>
        <w:t>AESJ, March 2016</w:t>
      </w:r>
    </w:p>
    <w:p w14:paraId="26FA8F7E" w14:textId="77777777" w:rsidR="0054424F" w:rsidRDefault="0054424F" w:rsidP="003B39D9">
      <w:pPr>
        <w:pStyle w:val="References"/>
        <w:tabs>
          <w:tab w:val="left" w:pos="900"/>
        </w:tabs>
        <w:ind w:left="567" w:hanging="567"/>
        <w:jc w:val="both"/>
        <w:rPr>
          <w:rFonts w:ascii="Times New Roman" w:hAnsi="Times New Roman" w:cs="Times New Roman"/>
          <w:sz w:val="24"/>
          <w:szCs w:val="24"/>
        </w:rPr>
      </w:pPr>
      <w:r>
        <w:rPr>
          <w:rFonts w:ascii="Times New Roman" w:hAnsi="Times New Roman" w:cs="Times New Roman"/>
          <w:sz w:val="24"/>
          <w:szCs w:val="24"/>
        </w:rPr>
        <w:t>[</w:t>
      </w:r>
      <w:r w:rsidR="00B046B3">
        <w:rPr>
          <w:rFonts w:ascii="Times New Roman" w:hAnsi="Times New Roman" w:cs="Times New Roman"/>
          <w:sz w:val="24"/>
          <w:szCs w:val="24"/>
        </w:rPr>
        <w:t>9</w:t>
      </w:r>
      <w:r>
        <w:rPr>
          <w:rFonts w:ascii="Times New Roman" w:hAnsi="Times New Roman" w:cs="Times New Roman"/>
          <w:sz w:val="24"/>
          <w:szCs w:val="24"/>
        </w:rPr>
        <w:t>]</w:t>
      </w:r>
      <w:r>
        <w:rPr>
          <w:rFonts w:ascii="Times New Roman" w:hAnsi="Times New Roman" w:cs="Times New Roman"/>
          <w:sz w:val="24"/>
          <w:szCs w:val="24"/>
        </w:rPr>
        <w:tab/>
      </w:r>
      <w:r w:rsidRPr="009A3BDE">
        <w:rPr>
          <w:rFonts w:ascii="Times New Roman" w:hAnsi="Times New Roman"/>
          <w:sz w:val="24"/>
          <w:szCs w:val="24"/>
        </w:rPr>
        <w:t xml:space="preserve">Japan Nuclear Energy Safety Organization, Review Manual for Aging Management Technical Evaluation, </w:t>
      </w:r>
      <w:r>
        <w:rPr>
          <w:rFonts w:ascii="Times New Roman" w:hAnsi="Times New Roman" w:hint="eastAsia"/>
          <w:sz w:val="24"/>
          <w:szCs w:val="24"/>
        </w:rPr>
        <w:t xml:space="preserve">JNES-RE-2013-9012, </w:t>
      </w:r>
      <w:r w:rsidRPr="009A3BDE">
        <w:rPr>
          <w:rFonts w:ascii="Times New Roman" w:hAnsi="Times New Roman"/>
          <w:sz w:val="24"/>
          <w:szCs w:val="24"/>
        </w:rPr>
        <w:t>JNES, September 2013</w:t>
      </w:r>
      <w:r>
        <w:rPr>
          <w:rFonts w:ascii="Times New Roman" w:hAnsi="Times New Roman" w:hint="eastAsia"/>
          <w:sz w:val="24"/>
          <w:szCs w:val="24"/>
        </w:rPr>
        <w:t>.</w:t>
      </w:r>
      <w:r w:rsidR="00A70D35">
        <w:rPr>
          <w:rFonts w:ascii="Times New Roman" w:hAnsi="Times New Roman"/>
          <w:sz w:val="24"/>
          <w:szCs w:val="24"/>
        </w:rPr>
        <w:t xml:space="preserve"> </w:t>
      </w:r>
      <w:r>
        <w:rPr>
          <w:rFonts w:ascii="Times New Roman" w:hAnsi="Times New Roman" w:hint="eastAsia"/>
          <w:sz w:val="24"/>
          <w:szCs w:val="24"/>
        </w:rPr>
        <w:t>pp.11-15</w:t>
      </w:r>
    </w:p>
    <w:p w14:paraId="755F89BF" w14:textId="77777777" w:rsidR="000C3D95" w:rsidRDefault="00FA2FB4" w:rsidP="003B39D9">
      <w:pPr>
        <w:pStyle w:val="References"/>
        <w:tabs>
          <w:tab w:val="left" w:pos="900"/>
        </w:tabs>
        <w:ind w:left="567" w:hanging="567"/>
        <w:jc w:val="both"/>
        <w:rPr>
          <w:rFonts w:ascii="Times New Roman" w:hAnsi="Times New Roman" w:cs="Times New Roman"/>
          <w:sz w:val="24"/>
          <w:szCs w:val="24"/>
        </w:rPr>
      </w:pPr>
      <w:r w:rsidRPr="00A70D35">
        <w:rPr>
          <w:rFonts w:ascii="Times New Roman" w:hAnsi="Times New Roman" w:cs="Times New Roman"/>
          <w:sz w:val="24"/>
          <w:szCs w:val="24"/>
        </w:rPr>
        <w:t>[</w:t>
      </w:r>
      <w:r w:rsidR="00B046B3">
        <w:rPr>
          <w:rFonts w:ascii="Times New Roman" w:hAnsi="Times New Roman" w:cs="Times New Roman"/>
          <w:sz w:val="24"/>
          <w:szCs w:val="24"/>
        </w:rPr>
        <w:t>10</w:t>
      </w:r>
      <w:r w:rsidR="000C3D95" w:rsidRPr="00A70D35">
        <w:rPr>
          <w:rFonts w:ascii="Times New Roman" w:hAnsi="Times New Roman" w:cs="Times New Roman"/>
          <w:sz w:val="24"/>
          <w:szCs w:val="24"/>
        </w:rPr>
        <w:t>]</w:t>
      </w:r>
      <w:r w:rsidR="000C3D95" w:rsidRPr="00A70D35">
        <w:rPr>
          <w:rFonts w:ascii="Times New Roman" w:hAnsi="Times New Roman" w:cs="Times New Roman"/>
          <w:sz w:val="24"/>
          <w:szCs w:val="24"/>
        </w:rPr>
        <w:tab/>
        <w:t>French regulation: Ministerial Order of 10 November 1999 relative to the monitoring of operation of the main primary system and the main secondary systems of pressurized water nuclear reactors</w:t>
      </w:r>
    </w:p>
    <w:p w14:paraId="6D344E55" w14:textId="77777777" w:rsidR="00CD1CAF" w:rsidRDefault="00CD1CAF" w:rsidP="003B39D9">
      <w:pPr>
        <w:pStyle w:val="References"/>
        <w:tabs>
          <w:tab w:val="left" w:pos="900"/>
        </w:tabs>
        <w:ind w:left="567" w:hanging="567"/>
        <w:jc w:val="both"/>
        <w:rPr>
          <w:rFonts w:ascii="Times New Roman" w:hAnsi="Times New Roman" w:cs="Times New Roman"/>
          <w:sz w:val="24"/>
          <w:szCs w:val="24"/>
        </w:rPr>
      </w:pPr>
      <w:r>
        <w:rPr>
          <w:rFonts w:ascii="Times New Roman" w:hAnsi="Times New Roman" w:cs="Times New Roman"/>
          <w:sz w:val="24"/>
          <w:szCs w:val="24"/>
        </w:rPr>
        <w:t>[1</w:t>
      </w:r>
      <w:r w:rsidR="00B046B3">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ab/>
      </w:r>
      <w:r w:rsidR="00A75A9D">
        <w:rPr>
          <w:rFonts w:ascii="Times New Roman" w:hAnsi="Times New Roman"/>
          <w:sz w:val="24"/>
          <w:szCs w:val="24"/>
        </w:rPr>
        <w:t xml:space="preserve">KERNTECHNISCHER AUSSCHUSS, </w:t>
      </w:r>
      <w:r>
        <w:rPr>
          <w:rFonts w:ascii="Times New Roman" w:hAnsi="Times New Roman" w:cs="Times New Roman"/>
          <w:sz w:val="24"/>
          <w:szCs w:val="24"/>
        </w:rPr>
        <w:t>Safety Standards of the German Nuclear Safety Standards Commission (KTA), Components of the Reactor Coolant Pressure Boundary of Light Water Reactors, Part 4: In-service Inspections and Operational Monitoring, KTA 3201.4, 2010</w:t>
      </w:r>
    </w:p>
    <w:p w14:paraId="0AAE0D17" w14:textId="77777777" w:rsidR="00CD1CAF" w:rsidRDefault="00CD1CAF" w:rsidP="003B39D9">
      <w:pPr>
        <w:pStyle w:val="References"/>
        <w:tabs>
          <w:tab w:val="left" w:pos="900"/>
        </w:tabs>
        <w:ind w:left="567" w:hanging="567"/>
        <w:jc w:val="both"/>
        <w:rPr>
          <w:rFonts w:ascii="Times New Roman" w:hAnsi="Times New Roman" w:cs="Times New Roman"/>
          <w:sz w:val="24"/>
          <w:szCs w:val="24"/>
        </w:rPr>
      </w:pPr>
      <w:r>
        <w:rPr>
          <w:rFonts w:ascii="Times New Roman" w:hAnsi="Times New Roman" w:cs="Times New Roman"/>
          <w:sz w:val="24"/>
          <w:szCs w:val="24"/>
        </w:rPr>
        <w:t>[1</w:t>
      </w:r>
      <w:r w:rsidR="00B046B3">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ab/>
      </w:r>
      <w:r w:rsidR="00A75A9D">
        <w:rPr>
          <w:rFonts w:ascii="Times New Roman" w:hAnsi="Times New Roman"/>
          <w:sz w:val="24"/>
          <w:szCs w:val="24"/>
        </w:rPr>
        <w:t xml:space="preserve">KERNTECHNISCHER AUSSCHUSS, </w:t>
      </w:r>
      <w:r>
        <w:rPr>
          <w:rFonts w:ascii="Times New Roman" w:hAnsi="Times New Roman" w:cs="Times New Roman"/>
          <w:sz w:val="24"/>
          <w:szCs w:val="24"/>
        </w:rPr>
        <w:t>Safety Standards of the German Nuclear Safety Standards Commission (KTA), Pressure and Activity Retaining Components of Systems Outside the Primary Circuit, Part 4: In-service Inspections and Operational Monitoring, KTA 3211.4, 2013</w:t>
      </w:r>
    </w:p>
    <w:p w14:paraId="5238E8B9" w14:textId="77777777" w:rsidR="00396FDA" w:rsidRPr="00B06877" w:rsidRDefault="001B1533" w:rsidP="003B39D9">
      <w:pPr>
        <w:pStyle w:val="References"/>
        <w:tabs>
          <w:tab w:val="left" w:pos="900"/>
        </w:tabs>
        <w:ind w:left="567" w:hanging="567"/>
        <w:jc w:val="both"/>
        <w:rPr>
          <w:rFonts w:ascii="Times New Roman" w:hAnsi="Times New Roman" w:cs="Times New Roman"/>
          <w:sz w:val="24"/>
          <w:szCs w:val="24"/>
        </w:rPr>
      </w:pPr>
      <w:r w:rsidRPr="00A70D35">
        <w:rPr>
          <w:rFonts w:ascii="Times New Roman" w:hAnsi="Times New Roman" w:cs="Times New Roman"/>
          <w:sz w:val="24"/>
          <w:szCs w:val="24"/>
        </w:rPr>
        <w:t>[</w:t>
      </w:r>
      <w:r w:rsidR="002B3DF4" w:rsidRPr="00A70D35">
        <w:rPr>
          <w:rFonts w:ascii="Times New Roman" w:hAnsi="Times New Roman" w:cs="Times New Roman"/>
          <w:sz w:val="24"/>
          <w:szCs w:val="24"/>
        </w:rPr>
        <w:t>1</w:t>
      </w:r>
      <w:r w:rsidR="00B046B3">
        <w:rPr>
          <w:rFonts w:ascii="Times New Roman" w:hAnsi="Times New Roman" w:cs="Times New Roman"/>
          <w:sz w:val="24"/>
          <w:szCs w:val="24"/>
        </w:rPr>
        <w:t>3</w:t>
      </w:r>
      <w:r w:rsidR="005011EC" w:rsidRPr="00A70D35">
        <w:rPr>
          <w:rFonts w:ascii="Times New Roman" w:hAnsi="Times New Roman" w:cs="Times New Roman"/>
          <w:sz w:val="24"/>
          <w:szCs w:val="24"/>
        </w:rPr>
        <w:t>]</w:t>
      </w:r>
      <w:r w:rsidR="005011EC" w:rsidRPr="00A70D35">
        <w:rPr>
          <w:rFonts w:ascii="Times New Roman" w:hAnsi="Times New Roman" w:cs="Times New Roman"/>
          <w:sz w:val="24"/>
          <w:szCs w:val="24"/>
        </w:rPr>
        <w:tab/>
      </w:r>
      <w:r w:rsidR="00B06877" w:rsidRPr="00A70D35">
        <w:rPr>
          <w:rFonts w:ascii="Times New Roman" w:hAnsi="Times New Roman"/>
          <w:sz w:val="24"/>
          <w:szCs w:val="24"/>
        </w:rPr>
        <w:t xml:space="preserve">UNITED STATES NUCLEAR REGULATORY COMMISSION, NUREG-1431, Volume 1, Rev. 4.0, Standard Technical Specifications – Westinghouse Plants, USNRC, Washington, D.C., April 2012. </w:t>
      </w:r>
      <w:r w:rsidR="00396FDA" w:rsidRPr="00A70D35">
        <w:rPr>
          <w:rFonts w:ascii="Times New Roman" w:hAnsi="Times New Roman"/>
          <w:sz w:val="24"/>
          <w:szCs w:val="24"/>
        </w:rPr>
        <w:t>(</w:t>
      </w:r>
      <w:r w:rsidR="00B06877" w:rsidRPr="00A70D35">
        <w:rPr>
          <w:rFonts w:ascii="Times New Roman" w:hAnsi="Times New Roman"/>
          <w:sz w:val="24"/>
          <w:szCs w:val="24"/>
        </w:rPr>
        <w:t>see Section 5.5.5, “Component Cyclic or Transient Limit”</w:t>
      </w:r>
      <w:r w:rsidR="00396FDA" w:rsidRPr="00A70D35">
        <w:rPr>
          <w:rFonts w:ascii="Times New Roman" w:hAnsi="Times New Roman"/>
          <w:sz w:val="24"/>
          <w:szCs w:val="24"/>
        </w:rPr>
        <w:t>)</w:t>
      </w:r>
    </w:p>
    <w:p w14:paraId="6C44D1FA" w14:textId="77777777" w:rsidR="00765CC4" w:rsidRDefault="00765CC4" w:rsidP="003B39D9">
      <w:pPr>
        <w:pStyle w:val="References"/>
        <w:tabs>
          <w:tab w:val="left" w:pos="900"/>
        </w:tabs>
        <w:ind w:left="567" w:hanging="567"/>
        <w:jc w:val="both"/>
      </w:pPr>
      <w:r>
        <w:rPr>
          <w:rFonts w:ascii="Times New Roman" w:hAnsi="Times New Roman" w:cs="Times New Roman"/>
          <w:sz w:val="24"/>
          <w:szCs w:val="24"/>
        </w:rPr>
        <w:t>[</w:t>
      </w:r>
      <w:r w:rsidR="003D7E92">
        <w:rPr>
          <w:rFonts w:ascii="Times New Roman" w:hAnsi="Times New Roman" w:cs="Times New Roman"/>
          <w:sz w:val="24"/>
          <w:szCs w:val="24"/>
        </w:rPr>
        <w:t>1</w:t>
      </w:r>
      <w:r w:rsidR="00B046B3">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r>
      <w:r w:rsidR="008B20F5">
        <w:rPr>
          <w:rFonts w:ascii="Times New Roman" w:hAnsi="Times New Roman" w:cs="Times New Roman"/>
          <w:sz w:val="24"/>
          <w:szCs w:val="24"/>
        </w:rPr>
        <w:t xml:space="preserve">UNITED STATES NUCLEAR REGULATORY COMMISSION, </w:t>
      </w:r>
      <w:r>
        <w:rPr>
          <w:rFonts w:ascii="Times New Roman" w:hAnsi="Times New Roman" w:cs="Times New Roman"/>
          <w:sz w:val="24"/>
          <w:szCs w:val="24"/>
        </w:rPr>
        <w:t xml:space="preserve">Application of NUREG/CR-5999 Interim Fatigue Curves to Selected Nuclear Power Plant Components, </w:t>
      </w:r>
      <w:r w:rsidR="00E23482">
        <w:rPr>
          <w:rFonts w:ascii="Times New Roman" w:hAnsi="Times New Roman" w:cs="Times New Roman"/>
          <w:sz w:val="24"/>
          <w:szCs w:val="24"/>
        </w:rPr>
        <w:t>NUREG/CR-6260, USNRC</w:t>
      </w:r>
      <w:r w:rsidR="00E664DC">
        <w:rPr>
          <w:rFonts w:ascii="Times New Roman" w:hAnsi="Times New Roman" w:cs="Times New Roman"/>
          <w:sz w:val="24"/>
          <w:szCs w:val="24"/>
        </w:rPr>
        <w:t>, March 1995</w:t>
      </w:r>
    </w:p>
    <w:p w14:paraId="27385CAE" w14:textId="77777777" w:rsidR="00D262E7" w:rsidRDefault="00D262E7" w:rsidP="003B39D9">
      <w:pPr>
        <w:pStyle w:val="References"/>
        <w:tabs>
          <w:tab w:val="left" w:pos="900"/>
        </w:tabs>
        <w:ind w:left="567" w:hanging="567"/>
        <w:jc w:val="both"/>
        <w:rPr>
          <w:rFonts w:ascii="Times New Roman" w:hAnsi="Times New Roman" w:cs="Times New Roman"/>
          <w:sz w:val="24"/>
          <w:szCs w:val="24"/>
        </w:rPr>
      </w:pPr>
      <w:r w:rsidRPr="00A019F7">
        <w:rPr>
          <w:rFonts w:ascii="Times New Roman" w:hAnsi="Times New Roman" w:cs="Times New Roman"/>
          <w:sz w:val="24"/>
          <w:szCs w:val="24"/>
        </w:rPr>
        <w:t>[</w:t>
      </w:r>
      <w:r w:rsidR="00EF4DAC">
        <w:rPr>
          <w:rFonts w:ascii="Times New Roman" w:hAnsi="Times New Roman" w:cs="Times New Roman"/>
          <w:sz w:val="24"/>
          <w:szCs w:val="24"/>
        </w:rPr>
        <w:t>1</w:t>
      </w:r>
      <w:r w:rsidR="002A51B9">
        <w:rPr>
          <w:rFonts w:ascii="Times New Roman" w:hAnsi="Times New Roman" w:cs="Times New Roman"/>
          <w:sz w:val="24"/>
          <w:szCs w:val="24"/>
        </w:rPr>
        <w:t>5</w:t>
      </w:r>
      <w:r w:rsidRPr="00A019F7">
        <w:rPr>
          <w:rFonts w:ascii="Times New Roman" w:hAnsi="Times New Roman" w:cs="Times New Roman"/>
          <w:sz w:val="24"/>
          <w:szCs w:val="24"/>
        </w:rPr>
        <w:t>]</w:t>
      </w:r>
      <w:r w:rsidRPr="00A019F7">
        <w:rPr>
          <w:rFonts w:ascii="Times New Roman" w:hAnsi="Times New Roman" w:cs="Times New Roman"/>
          <w:sz w:val="24"/>
          <w:szCs w:val="24"/>
        </w:rPr>
        <w:tab/>
      </w:r>
      <w:r w:rsidR="008B20F5">
        <w:rPr>
          <w:rFonts w:ascii="Times New Roman" w:hAnsi="Times New Roman" w:cs="Times New Roman"/>
          <w:sz w:val="24"/>
          <w:szCs w:val="24"/>
        </w:rPr>
        <w:t xml:space="preserve">UNITED STATES NUCLEAR REGULATORY COMMISSION, </w:t>
      </w:r>
      <w:r w:rsidRPr="00A019F7">
        <w:rPr>
          <w:rFonts w:ascii="Times New Roman" w:hAnsi="Times New Roman" w:cs="Times New Roman"/>
          <w:sz w:val="24"/>
          <w:szCs w:val="24"/>
        </w:rPr>
        <w:t>Effects of LWR Coolant Environments on the Fatigue Life of Reactor Materials,</w:t>
      </w:r>
      <w:r w:rsidR="008B20F5">
        <w:rPr>
          <w:rFonts w:ascii="Times New Roman" w:hAnsi="Times New Roman" w:cs="Times New Roman"/>
          <w:sz w:val="24"/>
          <w:szCs w:val="24"/>
        </w:rPr>
        <w:t xml:space="preserve"> </w:t>
      </w:r>
      <w:r w:rsidR="008B20F5" w:rsidRPr="00A019F7">
        <w:rPr>
          <w:rFonts w:ascii="Times New Roman" w:hAnsi="Times New Roman" w:cs="Times New Roman"/>
          <w:sz w:val="24"/>
          <w:szCs w:val="24"/>
        </w:rPr>
        <w:t xml:space="preserve">NUREG/CR-6909, </w:t>
      </w:r>
      <w:r w:rsidR="00B86267">
        <w:rPr>
          <w:rFonts w:ascii="Times New Roman" w:hAnsi="Times New Roman" w:cs="Times New Roman"/>
          <w:sz w:val="24"/>
          <w:szCs w:val="24"/>
        </w:rPr>
        <w:t xml:space="preserve">Rev 1, </w:t>
      </w:r>
      <w:r w:rsidR="008B20F5">
        <w:rPr>
          <w:rFonts w:ascii="Times New Roman" w:hAnsi="Times New Roman" w:cs="Times New Roman"/>
          <w:sz w:val="24"/>
          <w:szCs w:val="24"/>
        </w:rPr>
        <w:t>USNRC</w:t>
      </w:r>
      <w:r w:rsidRPr="00A019F7">
        <w:rPr>
          <w:rFonts w:ascii="Times New Roman" w:hAnsi="Times New Roman" w:cs="Times New Roman"/>
          <w:sz w:val="24"/>
          <w:szCs w:val="24"/>
        </w:rPr>
        <w:t xml:space="preserve">, </w:t>
      </w:r>
      <w:r w:rsidR="00B86267">
        <w:rPr>
          <w:rFonts w:ascii="Times New Roman" w:hAnsi="Times New Roman" w:cs="Times New Roman"/>
          <w:sz w:val="24"/>
          <w:szCs w:val="24"/>
        </w:rPr>
        <w:t>May 2018</w:t>
      </w:r>
    </w:p>
    <w:p w14:paraId="3848589A" w14:textId="77777777" w:rsidR="002A51B9" w:rsidRDefault="002A51B9" w:rsidP="003B39D9">
      <w:pPr>
        <w:pStyle w:val="References"/>
        <w:tabs>
          <w:tab w:val="left" w:pos="900"/>
        </w:tabs>
        <w:ind w:left="567" w:hanging="567"/>
        <w:jc w:val="both"/>
        <w:rPr>
          <w:rFonts w:ascii="Times New Roman" w:hAnsi="Times New Roman" w:cs="Times New Roman"/>
          <w:sz w:val="24"/>
          <w:szCs w:val="24"/>
        </w:rPr>
      </w:pPr>
      <w:r>
        <w:rPr>
          <w:rFonts w:ascii="Times New Roman" w:hAnsi="Times New Roman" w:cs="Times New Roman"/>
          <w:sz w:val="24"/>
          <w:szCs w:val="24"/>
        </w:rPr>
        <w:t xml:space="preserve">[16] </w:t>
      </w:r>
      <w:r w:rsidR="00F2210A">
        <w:rPr>
          <w:rFonts w:ascii="Times New Roman" w:hAnsi="Times New Roman" w:cs="Times New Roman"/>
          <w:sz w:val="24"/>
          <w:szCs w:val="24"/>
        </w:rPr>
        <w:t>UNITED STATES NUCLEAR REGULATORY COMMISSION, Guidelines for evaluating the effects of light water reactor environments in fatigue anal</w:t>
      </w:r>
      <w:r w:rsidR="00720CAA">
        <w:rPr>
          <w:rFonts w:ascii="Times New Roman" w:hAnsi="Times New Roman" w:cs="Times New Roman"/>
          <w:sz w:val="24"/>
          <w:szCs w:val="24"/>
        </w:rPr>
        <w:t xml:space="preserve">yses of metal components, </w:t>
      </w:r>
      <w:r w:rsidR="00F2210A">
        <w:rPr>
          <w:rFonts w:ascii="Times New Roman" w:hAnsi="Times New Roman" w:cs="Times New Roman"/>
          <w:sz w:val="24"/>
          <w:szCs w:val="24"/>
        </w:rPr>
        <w:t>RG-1.207, Rev 1, USNRC, June 2018</w:t>
      </w:r>
      <w:bookmarkStart w:id="2" w:name="_GoBack"/>
      <w:bookmarkEnd w:id="2"/>
    </w:p>
    <w:p w14:paraId="4A7BDA2C" w14:textId="77777777" w:rsidR="00767C9B" w:rsidRPr="00A019F7" w:rsidRDefault="00614992" w:rsidP="003B39D9">
      <w:pPr>
        <w:pStyle w:val="References"/>
        <w:tabs>
          <w:tab w:val="left" w:pos="900"/>
        </w:tabs>
        <w:ind w:left="567" w:hanging="567"/>
        <w:jc w:val="both"/>
        <w:rPr>
          <w:rFonts w:ascii="Times New Roman" w:hAnsi="Times New Roman" w:cs="Times New Roman"/>
          <w:sz w:val="24"/>
          <w:szCs w:val="24"/>
        </w:rPr>
      </w:pPr>
      <w:r>
        <w:rPr>
          <w:rFonts w:ascii="Times New Roman" w:hAnsi="Times New Roman" w:cs="Times New Roman"/>
          <w:sz w:val="24"/>
          <w:szCs w:val="24"/>
        </w:rPr>
        <w:t>[1</w:t>
      </w:r>
      <w:r w:rsidR="00F2210A">
        <w:rPr>
          <w:rFonts w:ascii="Times New Roman" w:hAnsi="Times New Roman" w:cs="Times New Roman"/>
          <w:sz w:val="24"/>
          <w:szCs w:val="24"/>
        </w:rPr>
        <w:t>7</w:t>
      </w:r>
      <w:r w:rsidR="0068247F">
        <w:rPr>
          <w:rFonts w:ascii="Times New Roman" w:hAnsi="Times New Roman" w:cs="Times New Roman"/>
          <w:sz w:val="24"/>
          <w:szCs w:val="24"/>
        </w:rPr>
        <w:t>]</w:t>
      </w:r>
      <w:r w:rsidR="0068247F">
        <w:rPr>
          <w:rFonts w:ascii="Times New Roman" w:hAnsi="Times New Roman" w:cs="Times New Roman"/>
          <w:sz w:val="24"/>
          <w:szCs w:val="24"/>
        </w:rPr>
        <w:tab/>
      </w:r>
      <w:r w:rsidR="0068247F" w:rsidRPr="00633FD1">
        <w:rPr>
          <w:rFonts w:ascii="Times New Roman" w:hAnsi="Times New Roman" w:cs="Times New Roman"/>
          <w:sz w:val="24"/>
          <w:szCs w:val="24"/>
        </w:rPr>
        <w:t xml:space="preserve">F.H.E. de </w:t>
      </w:r>
      <w:proofErr w:type="spellStart"/>
      <w:r w:rsidR="0068247F" w:rsidRPr="00633FD1">
        <w:rPr>
          <w:rFonts w:ascii="Times New Roman" w:hAnsi="Times New Roman" w:cs="Times New Roman"/>
          <w:sz w:val="24"/>
          <w:szCs w:val="24"/>
        </w:rPr>
        <w:t>Haan</w:t>
      </w:r>
      <w:proofErr w:type="spellEnd"/>
      <w:r w:rsidR="0068247F" w:rsidRPr="00633FD1">
        <w:rPr>
          <w:rFonts w:ascii="Times New Roman" w:hAnsi="Times New Roman" w:cs="Times New Roman"/>
          <w:sz w:val="24"/>
          <w:szCs w:val="24"/>
        </w:rPr>
        <w:t xml:space="preserve"> – de Wilde, M.H.C. </w:t>
      </w:r>
      <w:proofErr w:type="spellStart"/>
      <w:r w:rsidR="0068247F" w:rsidRPr="00633FD1">
        <w:rPr>
          <w:rFonts w:ascii="Times New Roman" w:hAnsi="Times New Roman" w:cs="Times New Roman"/>
          <w:sz w:val="24"/>
          <w:szCs w:val="24"/>
        </w:rPr>
        <w:t>Hannink</w:t>
      </w:r>
      <w:proofErr w:type="spellEnd"/>
      <w:r w:rsidR="0068247F" w:rsidRPr="00633FD1">
        <w:rPr>
          <w:rFonts w:ascii="Times New Roman" w:hAnsi="Times New Roman" w:cs="Times New Roman"/>
          <w:sz w:val="24"/>
          <w:szCs w:val="24"/>
        </w:rPr>
        <w:t xml:space="preserve">, F.J. </w:t>
      </w:r>
      <w:proofErr w:type="spellStart"/>
      <w:r w:rsidR="0068247F" w:rsidRPr="00633FD1">
        <w:rPr>
          <w:rFonts w:ascii="Times New Roman" w:hAnsi="Times New Roman" w:cs="Times New Roman"/>
          <w:sz w:val="24"/>
          <w:szCs w:val="24"/>
        </w:rPr>
        <w:t>Blom</w:t>
      </w:r>
      <w:proofErr w:type="spellEnd"/>
      <w:r w:rsidR="0068247F" w:rsidRPr="00633FD1">
        <w:rPr>
          <w:rFonts w:ascii="Times New Roman" w:hAnsi="Times New Roman" w:cs="Times New Roman"/>
          <w:sz w:val="24"/>
          <w:szCs w:val="24"/>
        </w:rPr>
        <w:t xml:space="preserve">, Overview of international implementation of environmental fatigue, PVP2013-97695, </w:t>
      </w:r>
      <w:r w:rsidR="009A0EAC">
        <w:rPr>
          <w:rFonts w:ascii="Times New Roman" w:hAnsi="Times New Roman" w:cs="Times New Roman"/>
          <w:sz w:val="24"/>
          <w:szCs w:val="24"/>
        </w:rPr>
        <w:t>ASME 2013</w:t>
      </w:r>
      <w:r w:rsidR="009A0EAC" w:rsidRPr="00557930">
        <w:rPr>
          <w:rFonts w:ascii="Times New Roman" w:hAnsi="Times New Roman" w:cs="Times New Roman"/>
          <w:sz w:val="24"/>
          <w:szCs w:val="24"/>
        </w:rPr>
        <w:t xml:space="preserve"> Pressure Vessels &amp; Piping Division Conference</w:t>
      </w:r>
      <w:r w:rsidR="009A0EAC">
        <w:rPr>
          <w:rFonts w:ascii="Times New Roman" w:hAnsi="Times New Roman" w:cs="Times New Roman"/>
          <w:sz w:val="24"/>
          <w:szCs w:val="24"/>
        </w:rPr>
        <w:t xml:space="preserve">, Paris, France, </w:t>
      </w:r>
      <w:r w:rsidR="009A0EAC" w:rsidRPr="00633FD1">
        <w:rPr>
          <w:rFonts w:ascii="Times New Roman" w:hAnsi="Times New Roman" w:cs="Times New Roman"/>
          <w:sz w:val="24"/>
          <w:szCs w:val="24"/>
        </w:rPr>
        <w:t xml:space="preserve">July </w:t>
      </w:r>
      <w:proofErr w:type="gramStart"/>
      <w:r w:rsidR="009A0EAC" w:rsidRPr="00633FD1">
        <w:rPr>
          <w:rFonts w:ascii="Times New Roman" w:hAnsi="Times New Roman" w:cs="Times New Roman"/>
          <w:sz w:val="24"/>
          <w:szCs w:val="24"/>
        </w:rPr>
        <w:t>14-18</w:t>
      </w:r>
      <w:proofErr w:type="gramEnd"/>
      <w:r w:rsidR="009A0EAC" w:rsidRPr="00633FD1">
        <w:rPr>
          <w:rFonts w:ascii="Times New Roman" w:hAnsi="Times New Roman" w:cs="Times New Roman"/>
          <w:sz w:val="24"/>
          <w:szCs w:val="24"/>
        </w:rPr>
        <w:t xml:space="preserve"> 2013</w:t>
      </w:r>
      <w:r w:rsidR="000062F9">
        <w:rPr>
          <w:rFonts w:ascii="Times New Roman" w:hAnsi="Times New Roman" w:cs="Times New Roman"/>
          <w:sz w:val="24"/>
          <w:szCs w:val="24"/>
        </w:rPr>
        <w:t xml:space="preserve"> </w:t>
      </w:r>
      <w:r w:rsidR="000062F9" w:rsidRPr="00540C1C">
        <w:rPr>
          <w:rFonts w:ascii="Times New Roman" w:hAnsi="Times New Roman"/>
          <w:sz w:val="24"/>
          <w:szCs w:val="24"/>
        </w:rPr>
        <w:t>(update is prepared for ASME-PVP 2017)</w:t>
      </w:r>
    </w:p>
    <w:p w14:paraId="0C6D95BE" w14:textId="77777777" w:rsidR="00D262E7" w:rsidRPr="00A019F7" w:rsidRDefault="00D262E7" w:rsidP="003B39D9">
      <w:pPr>
        <w:pStyle w:val="References"/>
        <w:tabs>
          <w:tab w:val="left" w:pos="900"/>
        </w:tabs>
        <w:ind w:left="567" w:hanging="567"/>
        <w:jc w:val="both"/>
        <w:rPr>
          <w:rFonts w:ascii="Times New Roman" w:hAnsi="Times New Roman" w:cs="Times New Roman"/>
          <w:sz w:val="24"/>
          <w:szCs w:val="24"/>
        </w:rPr>
      </w:pPr>
      <w:r w:rsidRPr="00A019F7">
        <w:rPr>
          <w:rFonts w:ascii="Times New Roman" w:hAnsi="Times New Roman" w:cs="Times New Roman"/>
          <w:sz w:val="24"/>
          <w:szCs w:val="24"/>
        </w:rPr>
        <w:t>[</w:t>
      </w:r>
      <w:r w:rsidR="00580A85">
        <w:rPr>
          <w:rFonts w:ascii="Times New Roman" w:hAnsi="Times New Roman" w:cs="Times New Roman"/>
          <w:sz w:val="24"/>
          <w:szCs w:val="24"/>
        </w:rPr>
        <w:t>1</w:t>
      </w:r>
      <w:r w:rsidR="00F2210A">
        <w:rPr>
          <w:rFonts w:ascii="Times New Roman" w:hAnsi="Times New Roman" w:cs="Times New Roman"/>
          <w:sz w:val="24"/>
          <w:szCs w:val="24"/>
        </w:rPr>
        <w:t>8</w:t>
      </w:r>
      <w:r w:rsidRPr="00A019F7">
        <w:rPr>
          <w:rFonts w:ascii="Times New Roman" w:hAnsi="Times New Roman" w:cs="Times New Roman"/>
          <w:sz w:val="24"/>
          <w:szCs w:val="24"/>
        </w:rPr>
        <w:t>]</w:t>
      </w:r>
      <w:r w:rsidRPr="00A019F7">
        <w:rPr>
          <w:rFonts w:ascii="Times New Roman" w:hAnsi="Times New Roman" w:cs="Times New Roman"/>
          <w:sz w:val="24"/>
          <w:szCs w:val="24"/>
        </w:rPr>
        <w:tab/>
      </w:r>
      <w:r w:rsidR="003C7567">
        <w:rPr>
          <w:rFonts w:ascii="Times New Roman" w:hAnsi="Times New Roman" w:cs="Times New Roman"/>
          <w:sz w:val="24"/>
          <w:szCs w:val="24"/>
        </w:rPr>
        <w:t xml:space="preserve">ELECTRIC POWER RESEARCH INSTITUTE, </w:t>
      </w:r>
      <w:r w:rsidRPr="00A019F7">
        <w:rPr>
          <w:rFonts w:ascii="Times New Roman" w:hAnsi="Times New Roman" w:cs="Times New Roman"/>
          <w:sz w:val="24"/>
          <w:szCs w:val="24"/>
        </w:rPr>
        <w:t>Materials Reliability Program: Thermal Fatigue Licensing Basis Monitoring Guideline MRP-149</w:t>
      </w:r>
      <w:r w:rsidR="005011EC">
        <w:rPr>
          <w:rFonts w:ascii="Times New Roman" w:hAnsi="Times New Roman" w:cs="Times New Roman"/>
          <w:sz w:val="24"/>
          <w:szCs w:val="24"/>
        </w:rPr>
        <w:t xml:space="preserve">, Revision </w:t>
      </w:r>
      <w:r w:rsidR="00500CCD">
        <w:rPr>
          <w:rFonts w:ascii="Times New Roman" w:hAnsi="Times New Roman" w:cs="Times New Roman"/>
          <w:sz w:val="24"/>
          <w:szCs w:val="24"/>
        </w:rPr>
        <w:t>1</w:t>
      </w:r>
      <w:r w:rsidR="00BE60B5">
        <w:rPr>
          <w:rFonts w:ascii="Times New Roman" w:hAnsi="Times New Roman" w:cs="Times New Roman"/>
          <w:sz w:val="24"/>
          <w:szCs w:val="24"/>
        </w:rPr>
        <w:t xml:space="preserve"> </w:t>
      </w:r>
      <w:r w:rsidR="00545AA3">
        <w:rPr>
          <w:rFonts w:ascii="Times New Roman" w:hAnsi="Times New Roman" w:cs="Times New Roman"/>
          <w:sz w:val="24"/>
          <w:szCs w:val="24"/>
        </w:rPr>
        <w:t>(</w:t>
      </w:r>
      <w:r w:rsidRPr="00A019F7">
        <w:rPr>
          <w:rFonts w:ascii="Times New Roman" w:hAnsi="Times New Roman" w:cs="Times New Roman"/>
          <w:sz w:val="24"/>
          <w:szCs w:val="24"/>
        </w:rPr>
        <w:t>EPRI</w:t>
      </w:r>
      <w:r w:rsidR="00545AA3">
        <w:rPr>
          <w:rFonts w:ascii="Times New Roman" w:hAnsi="Times New Roman" w:cs="Times New Roman"/>
          <w:sz w:val="24"/>
          <w:szCs w:val="24"/>
        </w:rPr>
        <w:t xml:space="preserve"> </w:t>
      </w:r>
      <w:r w:rsidR="00DA622A">
        <w:rPr>
          <w:rFonts w:ascii="Times New Roman" w:hAnsi="Times New Roman" w:cs="Times New Roman"/>
          <w:sz w:val="24"/>
          <w:szCs w:val="24"/>
        </w:rPr>
        <w:t>3002000684</w:t>
      </w:r>
      <w:r w:rsidR="00545AA3">
        <w:rPr>
          <w:rFonts w:ascii="Times New Roman" w:hAnsi="Times New Roman" w:cs="Times New Roman"/>
          <w:sz w:val="24"/>
          <w:szCs w:val="24"/>
        </w:rPr>
        <w:t>)</w:t>
      </w:r>
      <w:r w:rsidRPr="00A019F7">
        <w:rPr>
          <w:rFonts w:ascii="Times New Roman" w:hAnsi="Times New Roman" w:cs="Times New Roman"/>
          <w:sz w:val="24"/>
          <w:szCs w:val="24"/>
        </w:rPr>
        <w:t xml:space="preserve">, </w:t>
      </w:r>
      <w:r w:rsidR="003C7567">
        <w:rPr>
          <w:rFonts w:ascii="Times New Roman" w:hAnsi="Times New Roman" w:cs="Times New Roman"/>
          <w:sz w:val="24"/>
          <w:szCs w:val="24"/>
        </w:rPr>
        <w:t xml:space="preserve">EPRI, </w:t>
      </w:r>
      <w:r w:rsidRPr="00A019F7">
        <w:rPr>
          <w:rFonts w:ascii="Times New Roman" w:hAnsi="Times New Roman" w:cs="Times New Roman"/>
          <w:sz w:val="24"/>
          <w:szCs w:val="24"/>
        </w:rPr>
        <w:t>Palo Alto, CA</w:t>
      </w:r>
      <w:r w:rsidR="00FE5466">
        <w:rPr>
          <w:rFonts w:ascii="Times New Roman" w:hAnsi="Times New Roman" w:cs="Times New Roman"/>
          <w:sz w:val="24"/>
          <w:szCs w:val="24"/>
        </w:rPr>
        <w:t>,</w:t>
      </w:r>
      <w:r w:rsidRPr="00A019F7">
        <w:rPr>
          <w:rFonts w:ascii="Times New Roman" w:hAnsi="Times New Roman" w:cs="Times New Roman"/>
          <w:sz w:val="24"/>
          <w:szCs w:val="24"/>
        </w:rPr>
        <w:t xml:space="preserve"> </w:t>
      </w:r>
      <w:r w:rsidR="00DA622A">
        <w:rPr>
          <w:rFonts w:ascii="Times New Roman" w:hAnsi="Times New Roman" w:cs="Times New Roman"/>
          <w:sz w:val="24"/>
          <w:szCs w:val="24"/>
        </w:rPr>
        <w:t>2013</w:t>
      </w:r>
    </w:p>
    <w:p w14:paraId="63163FA3" w14:textId="2CC06A41" w:rsidR="00D262E7" w:rsidRDefault="00D262E7" w:rsidP="003B39D9">
      <w:pPr>
        <w:pStyle w:val="References"/>
        <w:tabs>
          <w:tab w:val="left" w:pos="900"/>
        </w:tabs>
        <w:ind w:left="567" w:hanging="567"/>
        <w:jc w:val="both"/>
        <w:rPr>
          <w:rFonts w:ascii="Times New Roman" w:hAnsi="Times New Roman" w:cs="Times New Roman"/>
          <w:sz w:val="24"/>
          <w:szCs w:val="24"/>
        </w:rPr>
      </w:pPr>
      <w:r w:rsidRPr="00A019F7">
        <w:rPr>
          <w:rFonts w:ascii="Times New Roman" w:hAnsi="Times New Roman" w:cs="Times New Roman"/>
          <w:sz w:val="24"/>
          <w:szCs w:val="24"/>
        </w:rPr>
        <w:t>[</w:t>
      </w:r>
      <w:r w:rsidR="00F2210A">
        <w:rPr>
          <w:rFonts w:ascii="Times New Roman" w:hAnsi="Times New Roman" w:cs="Times New Roman"/>
          <w:sz w:val="24"/>
          <w:szCs w:val="24"/>
        </w:rPr>
        <w:t>19</w:t>
      </w:r>
      <w:r w:rsidRPr="00A019F7">
        <w:rPr>
          <w:rFonts w:ascii="Times New Roman" w:hAnsi="Times New Roman" w:cs="Times New Roman"/>
          <w:sz w:val="24"/>
          <w:szCs w:val="24"/>
        </w:rPr>
        <w:t>]</w:t>
      </w:r>
      <w:r w:rsidRPr="00A019F7">
        <w:rPr>
          <w:rFonts w:ascii="Times New Roman" w:hAnsi="Times New Roman" w:cs="Times New Roman"/>
          <w:sz w:val="24"/>
          <w:szCs w:val="24"/>
        </w:rPr>
        <w:tab/>
      </w:r>
      <w:r w:rsidR="003C7567" w:rsidRPr="00471359">
        <w:rPr>
          <w:rFonts w:ascii="Times New Roman" w:hAnsi="Times New Roman" w:cs="Times New Roman"/>
          <w:color w:val="FF0000"/>
          <w:sz w:val="24"/>
          <w:szCs w:val="24"/>
        </w:rPr>
        <w:t xml:space="preserve">ELECTRIC POWER RESEARCH INSTITUTE, </w:t>
      </w:r>
      <w:r w:rsidRPr="00471359">
        <w:rPr>
          <w:rFonts w:ascii="Times New Roman" w:hAnsi="Times New Roman" w:cs="Times New Roman"/>
          <w:color w:val="FF0000"/>
          <w:sz w:val="24"/>
          <w:szCs w:val="24"/>
        </w:rPr>
        <w:t xml:space="preserve">Materials Reliability Program: Thermal Fatigue Monitoring Guidelines MRP-32, Revision </w:t>
      </w:r>
      <w:r w:rsidR="000E79D3" w:rsidRPr="00471359">
        <w:rPr>
          <w:rFonts w:ascii="Times New Roman" w:hAnsi="Times New Roman" w:cs="Times New Roman"/>
          <w:color w:val="FF0000"/>
          <w:sz w:val="24"/>
          <w:szCs w:val="24"/>
        </w:rPr>
        <w:t>2</w:t>
      </w:r>
      <w:r w:rsidR="00BE60B5" w:rsidRPr="00471359">
        <w:rPr>
          <w:rFonts w:ascii="Times New Roman" w:hAnsi="Times New Roman" w:cs="Times New Roman"/>
          <w:color w:val="FF0000"/>
          <w:sz w:val="24"/>
          <w:szCs w:val="24"/>
        </w:rPr>
        <w:t xml:space="preserve"> </w:t>
      </w:r>
      <w:r w:rsidR="003C7567" w:rsidRPr="00471359">
        <w:rPr>
          <w:rFonts w:ascii="Times New Roman" w:hAnsi="Times New Roman" w:cs="Times New Roman"/>
          <w:color w:val="FF0000"/>
          <w:sz w:val="24"/>
          <w:szCs w:val="24"/>
        </w:rPr>
        <w:t>(</w:t>
      </w:r>
      <w:r w:rsidRPr="00471359">
        <w:rPr>
          <w:rFonts w:ascii="Times New Roman" w:hAnsi="Times New Roman" w:cs="Times New Roman"/>
          <w:color w:val="FF0000"/>
          <w:sz w:val="24"/>
          <w:szCs w:val="24"/>
        </w:rPr>
        <w:t>EPRI</w:t>
      </w:r>
      <w:r w:rsidR="003C7567" w:rsidRPr="00471359">
        <w:rPr>
          <w:rFonts w:ascii="Times New Roman" w:hAnsi="Times New Roman" w:cs="Times New Roman"/>
          <w:color w:val="FF0000"/>
          <w:sz w:val="24"/>
          <w:szCs w:val="24"/>
        </w:rPr>
        <w:t xml:space="preserve"> </w:t>
      </w:r>
      <w:r w:rsidR="000E79D3" w:rsidRPr="00471359">
        <w:rPr>
          <w:rFonts w:ascii="Times New Roman" w:hAnsi="Times New Roman" w:cs="Times New Roman"/>
          <w:color w:val="FF0000"/>
          <w:sz w:val="24"/>
          <w:szCs w:val="24"/>
        </w:rPr>
        <w:t>3002016012</w:t>
      </w:r>
      <w:r w:rsidR="003C7567" w:rsidRPr="00471359">
        <w:rPr>
          <w:rFonts w:ascii="Times New Roman" w:hAnsi="Times New Roman" w:cs="Times New Roman"/>
          <w:color w:val="FF0000"/>
          <w:sz w:val="24"/>
          <w:szCs w:val="24"/>
        </w:rPr>
        <w:t>)</w:t>
      </w:r>
      <w:r w:rsidRPr="00471359">
        <w:rPr>
          <w:rFonts w:ascii="Times New Roman" w:hAnsi="Times New Roman" w:cs="Times New Roman"/>
          <w:color w:val="FF0000"/>
          <w:sz w:val="24"/>
          <w:szCs w:val="24"/>
        </w:rPr>
        <w:t xml:space="preserve">, </w:t>
      </w:r>
      <w:r w:rsidR="003C7567" w:rsidRPr="00471359">
        <w:rPr>
          <w:rFonts w:ascii="Times New Roman" w:hAnsi="Times New Roman" w:cs="Times New Roman"/>
          <w:color w:val="FF0000"/>
          <w:sz w:val="24"/>
          <w:szCs w:val="24"/>
        </w:rPr>
        <w:t xml:space="preserve">EPRI, </w:t>
      </w:r>
      <w:r w:rsidRPr="00471359">
        <w:rPr>
          <w:rFonts w:ascii="Times New Roman" w:hAnsi="Times New Roman" w:cs="Times New Roman"/>
          <w:color w:val="FF0000"/>
          <w:sz w:val="24"/>
          <w:szCs w:val="24"/>
        </w:rPr>
        <w:t>Palo Alto, CA</w:t>
      </w:r>
      <w:r w:rsidR="00FE5466" w:rsidRPr="00471359">
        <w:rPr>
          <w:rFonts w:ascii="Times New Roman" w:hAnsi="Times New Roman" w:cs="Times New Roman"/>
          <w:color w:val="FF0000"/>
          <w:sz w:val="24"/>
          <w:szCs w:val="24"/>
        </w:rPr>
        <w:t>,</w:t>
      </w:r>
      <w:r w:rsidRPr="00471359">
        <w:rPr>
          <w:rFonts w:ascii="Times New Roman" w:hAnsi="Times New Roman" w:cs="Times New Roman"/>
          <w:color w:val="FF0000"/>
          <w:sz w:val="24"/>
          <w:szCs w:val="24"/>
        </w:rPr>
        <w:t xml:space="preserve"> </w:t>
      </w:r>
      <w:r w:rsidR="000E79D3" w:rsidRPr="00471359">
        <w:rPr>
          <w:rFonts w:ascii="Times New Roman" w:hAnsi="Times New Roman" w:cs="Times New Roman"/>
          <w:color w:val="FF0000"/>
          <w:sz w:val="24"/>
          <w:szCs w:val="24"/>
        </w:rPr>
        <w:t>2019</w:t>
      </w:r>
    </w:p>
    <w:p w14:paraId="67943118" w14:textId="77777777" w:rsidR="004564A6" w:rsidRDefault="004564A6" w:rsidP="003B39D9">
      <w:pPr>
        <w:pStyle w:val="References"/>
        <w:tabs>
          <w:tab w:val="left" w:pos="900"/>
        </w:tabs>
        <w:ind w:left="567" w:hanging="567"/>
        <w:jc w:val="both"/>
        <w:rPr>
          <w:rFonts w:ascii="Times New Roman" w:hAnsi="Times New Roman" w:cs="Times New Roman"/>
          <w:sz w:val="24"/>
          <w:szCs w:val="24"/>
        </w:rPr>
      </w:pPr>
      <w:r w:rsidRPr="00A019F7">
        <w:rPr>
          <w:rFonts w:ascii="Times New Roman" w:hAnsi="Times New Roman" w:cs="Times New Roman"/>
          <w:sz w:val="24"/>
          <w:szCs w:val="24"/>
        </w:rPr>
        <w:t>[</w:t>
      </w:r>
      <w:r>
        <w:rPr>
          <w:rFonts w:ascii="Times New Roman" w:hAnsi="Times New Roman" w:cs="Times New Roman"/>
          <w:sz w:val="24"/>
          <w:szCs w:val="24"/>
        </w:rPr>
        <w:t>20</w:t>
      </w:r>
      <w:r w:rsidRPr="00A019F7">
        <w:rPr>
          <w:rFonts w:ascii="Times New Roman" w:hAnsi="Times New Roman" w:cs="Times New Roman"/>
          <w:sz w:val="24"/>
          <w:szCs w:val="24"/>
        </w:rPr>
        <w:t>]</w:t>
      </w:r>
      <w:r w:rsidRPr="00471359">
        <w:rPr>
          <w:rFonts w:ascii="Times New Roman" w:hAnsi="Times New Roman" w:cs="Times New Roman"/>
          <w:color w:val="FF0000"/>
          <w:sz w:val="24"/>
          <w:szCs w:val="24"/>
        </w:rPr>
        <w:tab/>
      </w:r>
      <w:r w:rsidR="009F2CB9" w:rsidRPr="00471359">
        <w:rPr>
          <w:rFonts w:ascii="Times New Roman" w:hAnsi="Times New Roman" w:cs="Times New Roman"/>
          <w:color w:val="FF0000"/>
          <w:sz w:val="24"/>
          <w:szCs w:val="24"/>
        </w:rPr>
        <w:t xml:space="preserve">EUROPEAN COMMISSION COMMUNITY RESEARCH, </w:t>
      </w:r>
      <w:r w:rsidR="00D95712" w:rsidRPr="00471359">
        <w:rPr>
          <w:rFonts w:ascii="Times New Roman" w:hAnsi="Times New Roman" w:cs="Times New Roman"/>
          <w:color w:val="FF0000"/>
          <w:sz w:val="24"/>
          <w:szCs w:val="24"/>
        </w:rPr>
        <w:t>Guidelines for Integrity and Lifetime Assessment of Components and Piping in WWER Nuclear Power Plants (VERLIFE), 2013</w:t>
      </w:r>
    </w:p>
    <w:p w14:paraId="3B2C609A" w14:textId="0F3B608E" w:rsidR="009E73D9" w:rsidRDefault="002B3DF4" w:rsidP="003B39D9">
      <w:pPr>
        <w:pStyle w:val="References"/>
        <w:tabs>
          <w:tab w:val="left" w:pos="900"/>
        </w:tabs>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w:t>
      </w:r>
      <w:r w:rsidR="00374C76">
        <w:rPr>
          <w:rFonts w:ascii="Times New Roman" w:hAnsi="Times New Roman" w:cs="Times New Roman"/>
          <w:sz w:val="24"/>
          <w:szCs w:val="24"/>
        </w:rPr>
        <w:t>21</w:t>
      </w:r>
      <w:r w:rsidR="00E552B2">
        <w:rPr>
          <w:rFonts w:ascii="Times New Roman" w:hAnsi="Times New Roman" w:cs="Times New Roman"/>
          <w:sz w:val="24"/>
          <w:szCs w:val="24"/>
        </w:rPr>
        <w:t>]</w:t>
      </w:r>
      <w:r w:rsidR="00E552B2">
        <w:rPr>
          <w:rFonts w:ascii="Times New Roman" w:hAnsi="Times New Roman" w:cs="Times New Roman"/>
          <w:sz w:val="24"/>
          <w:szCs w:val="24"/>
        </w:rPr>
        <w:tab/>
      </w:r>
      <w:r w:rsidR="009E73D9" w:rsidRPr="00F2309E">
        <w:rPr>
          <w:rFonts w:ascii="Times New Roman" w:hAnsi="Times New Roman" w:cs="Times New Roman"/>
          <w:sz w:val="24"/>
          <w:szCs w:val="24"/>
        </w:rPr>
        <w:t>AMERICAN SOCIETY OF MECHANICAL ENGINEERS, ASME Section XI, Rules for Inservice Inspection of Nuclear Power Plant Components, The ASME Boiler and Pressure Vessel Code, as approved in 10 CFR 50.55a, ASME, New York, NY</w:t>
      </w:r>
    </w:p>
    <w:p w14:paraId="3082C997" w14:textId="6ED13357" w:rsidR="00E552B2" w:rsidRDefault="00B046B3" w:rsidP="003B39D9">
      <w:pPr>
        <w:pStyle w:val="References"/>
        <w:tabs>
          <w:tab w:val="left" w:pos="900"/>
        </w:tabs>
        <w:ind w:left="567" w:hanging="567"/>
        <w:jc w:val="both"/>
        <w:rPr>
          <w:rFonts w:ascii="Times New Roman" w:hAnsi="Times New Roman" w:cs="Times New Roman"/>
          <w:sz w:val="24"/>
          <w:szCs w:val="24"/>
        </w:rPr>
      </w:pPr>
      <w:r>
        <w:rPr>
          <w:rFonts w:ascii="Times New Roman" w:hAnsi="Times New Roman" w:cs="Times New Roman"/>
          <w:sz w:val="24"/>
          <w:szCs w:val="24"/>
        </w:rPr>
        <w:t>[</w:t>
      </w:r>
      <w:r w:rsidR="00374C76">
        <w:rPr>
          <w:rFonts w:ascii="Times New Roman" w:hAnsi="Times New Roman" w:cs="Times New Roman"/>
          <w:sz w:val="24"/>
          <w:szCs w:val="24"/>
        </w:rPr>
        <w:t>22</w:t>
      </w:r>
      <w:r w:rsidR="009E73D9">
        <w:rPr>
          <w:rFonts w:ascii="Times New Roman" w:hAnsi="Times New Roman" w:cs="Times New Roman"/>
          <w:sz w:val="24"/>
          <w:szCs w:val="24"/>
        </w:rPr>
        <w:t xml:space="preserve">] </w:t>
      </w:r>
      <w:r w:rsidR="00BD0C5A">
        <w:rPr>
          <w:rFonts w:ascii="Times New Roman" w:hAnsi="Times New Roman" w:cs="Times New Roman"/>
          <w:sz w:val="24"/>
          <w:szCs w:val="24"/>
        </w:rPr>
        <w:tab/>
      </w:r>
      <w:r w:rsidR="00E552B2">
        <w:rPr>
          <w:rFonts w:ascii="Times New Roman" w:hAnsi="Times New Roman" w:cs="Times New Roman"/>
          <w:sz w:val="24"/>
          <w:szCs w:val="24"/>
        </w:rPr>
        <w:t>UNITED STATES NUCLEAR REGULATORY COMMISSION, Pressurizer Surge Line Thermal Stratification</w:t>
      </w:r>
      <w:r w:rsidR="00E552B2" w:rsidRPr="00A019F7">
        <w:rPr>
          <w:rFonts w:ascii="Times New Roman" w:hAnsi="Times New Roman" w:cs="Times New Roman"/>
          <w:sz w:val="24"/>
          <w:szCs w:val="24"/>
        </w:rPr>
        <w:t xml:space="preserve">, </w:t>
      </w:r>
      <w:r w:rsidR="00E552B2">
        <w:rPr>
          <w:rFonts w:ascii="Times New Roman" w:hAnsi="Times New Roman" w:cs="Times New Roman"/>
          <w:sz w:val="24"/>
          <w:szCs w:val="24"/>
        </w:rPr>
        <w:t>Bulletin 88-11</w:t>
      </w:r>
      <w:r w:rsidR="00E552B2" w:rsidRPr="00A019F7">
        <w:rPr>
          <w:rFonts w:ascii="Times New Roman" w:hAnsi="Times New Roman" w:cs="Times New Roman"/>
          <w:sz w:val="24"/>
          <w:szCs w:val="24"/>
        </w:rPr>
        <w:t xml:space="preserve">, </w:t>
      </w:r>
      <w:r w:rsidR="00E552B2">
        <w:rPr>
          <w:rFonts w:ascii="Times New Roman" w:hAnsi="Times New Roman" w:cs="Times New Roman"/>
          <w:sz w:val="24"/>
          <w:szCs w:val="24"/>
        </w:rPr>
        <w:t>USNRC</w:t>
      </w:r>
      <w:r w:rsidR="00E552B2" w:rsidRPr="00A019F7">
        <w:rPr>
          <w:rFonts w:ascii="Times New Roman" w:hAnsi="Times New Roman" w:cs="Times New Roman"/>
          <w:sz w:val="24"/>
          <w:szCs w:val="24"/>
        </w:rPr>
        <w:t xml:space="preserve">, </w:t>
      </w:r>
      <w:r w:rsidR="00E552B2">
        <w:rPr>
          <w:rFonts w:ascii="Times New Roman" w:hAnsi="Times New Roman" w:cs="Times New Roman"/>
          <w:sz w:val="24"/>
          <w:szCs w:val="24"/>
        </w:rPr>
        <w:t>December 20, 1988</w:t>
      </w:r>
    </w:p>
    <w:p w14:paraId="247C70F0" w14:textId="536920BD" w:rsidR="005070EB" w:rsidRDefault="005070EB" w:rsidP="003B39D9">
      <w:pPr>
        <w:pStyle w:val="References"/>
        <w:tabs>
          <w:tab w:val="left" w:pos="900"/>
        </w:tabs>
        <w:ind w:left="567" w:hanging="567"/>
        <w:jc w:val="both"/>
        <w:rPr>
          <w:rFonts w:ascii="Times New Roman" w:hAnsi="Times New Roman" w:cs="Times New Roman"/>
          <w:sz w:val="24"/>
          <w:szCs w:val="24"/>
        </w:rPr>
      </w:pPr>
      <w:r>
        <w:rPr>
          <w:rFonts w:ascii="Times New Roman" w:hAnsi="Times New Roman" w:cs="Times New Roman"/>
          <w:sz w:val="24"/>
          <w:szCs w:val="24"/>
        </w:rPr>
        <w:t>[</w:t>
      </w:r>
      <w:r w:rsidR="00374C76">
        <w:rPr>
          <w:rFonts w:ascii="Times New Roman" w:hAnsi="Times New Roman" w:cs="Times New Roman"/>
          <w:sz w:val="24"/>
          <w:szCs w:val="24"/>
        </w:rPr>
        <w:t>23</w:t>
      </w:r>
      <w:r>
        <w:rPr>
          <w:rFonts w:ascii="Times New Roman" w:hAnsi="Times New Roman" w:cs="Times New Roman"/>
          <w:sz w:val="24"/>
          <w:szCs w:val="24"/>
        </w:rPr>
        <w:t>]</w:t>
      </w:r>
      <w:r>
        <w:rPr>
          <w:rFonts w:ascii="Times New Roman" w:hAnsi="Times New Roman" w:cs="Times New Roman"/>
          <w:sz w:val="24"/>
          <w:szCs w:val="24"/>
        </w:rPr>
        <w:tab/>
        <w:t xml:space="preserve">M. De Smet, M. </w:t>
      </w:r>
      <w:proofErr w:type="spellStart"/>
      <w:r>
        <w:rPr>
          <w:rFonts w:ascii="Times New Roman" w:hAnsi="Times New Roman" w:cs="Times New Roman"/>
          <w:sz w:val="24"/>
          <w:szCs w:val="24"/>
        </w:rPr>
        <w:t>Guyette</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Justifying</w:t>
      </w:r>
      <w:proofErr w:type="gramEnd"/>
      <w:r>
        <w:rPr>
          <w:rFonts w:ascii="Times New Roman" w:hAnsi="Times New Roman" w:cs="Times New Roman"/>
          <w:sz w:val="24"/>
          <w:szCs w:val="24"/>
        </w:rPr>
        <w:t xml:space="preserve"> fatigue induced by severe thermal stratification transients in feed water systems, ASME Pressure Vessels and Piping</w:t>
      </w:r>
      <w:r w:rsidR="00144901">
        <w:rPr>
          <w:rFonts w:ascii="Times New Roman" w:hAnsi="Times New Roman" w:cs="Times New Roman"/>
          <w:sz w:val="24"/>
          <w:szCs w:val="24"/>
        </w:rPr>
        <w:t xml:space="preserve"> Conference, Orlando, July 1997. PVP-Vol.350, Fatigue and Fracture:</w:t>
      </w:r>
      <w:r>
        <w:rPr>
          <w:rFonts w:ascii="Times New Roman" w:hAnsi="Times New Roman" w:cs="Times New Roman"/>
          <w:sz w:val="24"/>
          <w:szCs w:val="24"/>
        </w:rPr>
        <w:t xml:space="preserve"> 19</w:t>
      </w:r>
      <w:r w:rsidR="007F5D78">
        <w:rPr>
          <w:rFonts w:ascii="Times New Roman" w:hAnsi="Times New Roman" w:cs="Times New Roman"/>
          <w:sz w:val="24"/>
          <w:szCs w:val="24"/>
        </w:rPr>
        <w:t>97, Volume 1, pp. 441-445</w:t>
      </w:r>
    </w:p>
    <w:p w14:paraId="55055AD0" w14:textId="0FDB3B45" w:rsidR="00E01428" w:rsidRDefault="00E01428" w:rsidP="003B39D9">
      <w:pPr>
        <w:pStyle w:val="References"/>
        <w:tabs>
          <w:tab w:val="left" w:pos="900"/>
        </w:tabs>
        <w:ind w:left="567" w:hanging="567"/>
        <w:jc w:val="both"/>
        <w:rPr>
          <w:rFonts w:ascii="Times New Roman" w:hAnsi="Times New Roman" w:cs="Times New Roman"/>
          <w:sz w:val="24"/>
          <w:szCs w:val="24"/>
        </w:rPr>
      </w:pPr>
      <w:r>
        <w:rPr>
          <w:rFonts w:ascii="Times New Roman" w:hAnsi="Times New Roman" w:cs="Times New Roman"/>
          <w:sz w:val="24"/>
          <w:szCs w:val="24"/>
        </w:rPr>
        <w:t>[</w:t>
      </w:r>
      <w:r w:rsidR="00374C76">
        <w:rPr>
          <w:rFonts w:ascii="Times New Roman" w:hAnsi="Times New Roman" w:cs="Times New Roman"/>
          <w:sz w:val="24"/>
          <w:szCs w:val="24"/>
        </w:rPr>
        <w:t>24</w:t>
      </w:r>
      <w:r>
        <w:rPr>
          <w:rFonts w:ascii="Times New Roman" w:hAnsi="Times New Roman" w:cs="Times New Roman"/>
          <w:sz w:val="24"/>
          <w:szCs w:val="24"/>
        </w:rPr>
        <w:t>]</w:t>
      </w:r>
      <w:r>
        <w:rPr>
          <w:rFonts w:ascii="Times New Roman" w:hAnsi="Times New Roman" w:cs="Times New Roman"/>
          <w:sz w:val="24"/>
          <w:szCs w:val="24"/>
        </w:rPr>
        <w:tab/>
        <w:t xml:space="preserve">A. </w:t>
      </w:r>
      <w:proofErr w:type="spellStart"/>
      <w:r>
        <w:rPr>
          <w:rFonts w:ascii="Times New Roman" w:hAnsi="Times New Roman" w:cs="Times New Roman"/>
          <w:sz w:val="24"/>
          <w:szCs w:val="24"/>
        </w:rPr>
        <w:t>Diaby</w:t>
      </w:r>
      <w:proofErr w:type="spellEnd"/>
      <w:r>
        <w:rPr>
          <w:rFonts w:ascii="Times New Roman" w:hAnsi="Times New Roman" w:cs="Times New Roman"/>
          <w:sz w:val="24"/>
          <w:szCs w:val="24"/>
        </w:rPr>
        <w:t xml:space="preserve">, M. De Smet, Stress and Fatigue Analysis considering Thermal Stratification with the THERMAXS Code, </w:t>
      </w:r>
      <w:r w:rsidR="006B1023">
        <w:rPr>
          <w:rFonts w:ascii="Times New Roman" w:hAnsi="Times New Roman" w:cs="Times New Roman"/>
          <w:sz w:val="24"/>
          <w:szCs w:val="24"/>
        </w:rPr>
        <w:t xml:space="preserve">PVP2009-77912, </w:t>
      </w:r>
      <w:r>
        <w:rPr>
          <w:rFonts w:ascii="Times New Roman" w:hAnsi="Times New Roman" w:cs="Times New Roman"/>
          <w:sz w:val="24"/>
          <w:szCs w:val="24"/>
        </w:rPr>
        <w:t>ASME 2009 Pressure Vessels and Piping Division Conference, Prague, Czech Republic, 2009.</w:t>
      </w:r>
    </w:p>
    <w:p w14:paraId="4979BD2C" w14:textId="0B841F15" w:rsidR="00273BB2" w:rsidRDefault="008F641A" w:rsidP="003B39D9">
      <w:pPr>
        <w:pStyle w:val="References"/>
        <w:tabs>
          <w:tab w:val="left" w:pos="900"/>
        </w:tabs>
        <w:ind w:left="567" w:hanging="567"/>
        <w:jc w:val="both"/>
        <w:rPr>
          <w:rFonts w:ascii="Times New Roman" w:hAnsi="Times New Roman" w:cs="Times New Roman"/>
          <w:sz w:val="24"/>
          <w:szCs w:val="24"/>
          <w:lang w:val="fr-FR" w:eastAsia="ja-JP"/>
        </w:rPr>
      </w:pPr>
      <w:r>
        <w:rPr>
          <w:rFonts w:ascii="Times New Roman" w:hAnsi="Times New Roman" w:cs="Times New Roman"/>
          <w:sz w:val="24"/>
          <w:szCs w:val="24"/>
          <w:lang w:val="fr-FR" w:eastAsia="ja-JP"/>
        </w:rPr>
        <w:t>[</w:t>
      </w:r>
      <w:r w:rsidR="00374C76">
        <w:rPr>
          <w:rFonts w:ascii="Times New Roman" w:hAnsi="Times New Roman" w:cs="Times New Roman"/>
          <w:sz w:val="24"/>
          <w:szCs w:val="24"/>
          <w:lang w:val="fr-FR" w:eastAsia="ja-JP"/>
        </w:rPr>
        <w:t>25</w:t>
      </w:r>
      <w:r>
        <w:rPr>
          <w:rFonts w:ascii="Times New Roman" w:hAnsi="Times New Roman" w:cs="Times New Roman"/>
          <w:sz w:val="24"/>
          <w:szCs w:val="24"/>
          <w:lang w:val="fr-FR" w:eastAsia="ja-JP"/>
        </w:rPr>
        <w:t>]</w:t>
      </w:r>
      <w:r>
        <w:rPr>
          <w:rFonts w:ascii="Times New Roman" w:hAnsi="Times New Roman" w:cs="Times New Roman"/>
          <w:sz w:val="24"/>
          <w:szCs w:val="24"/>
          <w:lang w:val="fr-FR" w:eastAsia="ja-JP"/>
        </w:rPr>
        <w:tab/>
      </w:r>
      <w:r w:rsidRPr="005A0C63">
        <w:rPr>
          <w:rFonts w:ascii="Times New Roman" w:hAnsi="Times New Roman" w:cs="Times New Roman"/>
          <w:sz w:val="24"/>
          <w:szCs w:val="24"/>
          <w:lang w:val="fr-FR" w:eastAsia="ja-JP"/>
        </w:rPr>
        <w:t xml:space="preserve">Chargements de fatigue dans l’industrie nucléaire, Claire NAUDIN, EDF/SEPTEN - SF2M – </w:t>
      </w:r>
      <w:r>
        <w:rPr>
          <w:rFonts w:ascii="Times New Roman" w:hAnsi="Times New Roman" w:cs="Times New Roman"/>
          <w:sz w:val="24"/>
          <w:szCs w:val="24"/>
          <w:lang w:val="fr-FR" w:eastAsia="ja-JP"/>
        </w:rPr>
        <w:t>C</w:t>
      </w:r>
      <w:r w:rsidRPr="005A0C63">
        <w:rPr>
          <w:rFonts w:ascii="Times New Roman" w:hAnsi="Times New Roman" w:cs="Times New Roman"/>
          <w:sz w:val="24"/>
          <w:szCs w:val="24"/>
          <w:lang w:val="fr-FR" w:eastAsia="ja-JP"/>
        </w:rPr>
        <w:t>ommission Fatigue</w:t>
      </w:r>
      <w:r>
        <w:rPr>
          <w:rFonts w:ascii="Times New Roman" w:hAnsi="Times New Roman" w:cs="Times New Roman"/>
          <w:sz w:val="24"/>
          <w:szCs w:val="24"/>
          <w:lang w:val="fr-FR" w:eastAsia="ja-JP"/>
        </w:rPr>
        <w:t>,</w:t>
      </w:r>
      <w:r w:rsidRPr="005A0C63">
        <w:rPr>
          <w:rFonts w:ascii="Times New Roman" w:hAnsi="Times New Roman" w:cs="Times New Roman"/>
          <w:sz w:val="24"/>
          <w:szCs w:val="24"/>
          <w:lang w:val="fr-FR" w:eastAsia="ja-JP"/>
        </w:rPr>
        <w:t xml:space="preserve"> Séminaire du 16 juin 2011</w:t>
      </w:r>
    </w:p>
    <w:p w14:paraId="5E5B1221" w14:textId="00157015" w:rsidR="00222B1A" w:rsidRDefault="00784215" w:rsidP="003B39D9">
      <w:pPr>
        <w:pStyle w:val="References"/>
        <w:tabs>
          <w:tab w:val="left" w:pos="900"/>
        </w:tabs>
        <w:ind w:left="567" w:hanging="567"/>
        <w:jc w:val="both"/>
        <w:rPr>
          <w:rFonts w:ascii="Times New Roman" w:hAnsi="Times New Roman" w:cs="Times New Roman"/>
          <w:sz w:val="24"/>
          <w:szCs w:val="24"/>
        </w:rPr>
      </w:pPr>
      <w:r w:rsidRPr="00784215">
        <w:rPr>
          <w:rFonts w:ascii="Times New Roman" w:hAnsi="Times New Roman" w:cs="Times New Roman"/>
          <w:sz w:val="24"/>
          <w:szCs w:val="24"/>
          <w:lang w:val="en-GB" w:eastAsia="ja-JP"/>
        </w:rPr>
        <w:t>[</w:t>
      </w:r>
      <w:r w:rsidR="00374C76">
        <w:rPr>
          <w:rFonts w:ascii="Times New Roman" w:hAnsi="Times New Roman" w:cs="Times New Roman"/>
          <w:sz w:val="24"/>
          <w:szCs w:val="24"/>
          <w:lang w:val="en-GB" w:eastAsia="ja-JP"/>
        </w:rPr>
        <w:t>26</w:t>
      </w:r>
      <w:r w:rsidR="00302CE0" w:rsidRPr="00A70D35">
        <w:rPr>
          <w:rFonts w:ascii="Times New Roman" w:hAnsi="Times New Roman" w:cs="Times New Roman"/>
          <w:sz w:val="24"/>
          <w:szCs w:val="24"/>
          <w:lang w:val="en-GB" w:eastAsia="ja-JP"/>
        </w:rPr>
        <w:t>]</w:t>
      </w:r>
      <w:r w:rsidR="00302CE0" w:rsidRPr="00A70D35">
        <w:rPr>
          <w:rFonts w:ascii="Times New Roman" w:hAnsi="Times New Roman" w:cs="Times New Roman"/>
          <w:sz w:val="24"/>
          <w:szCs w:val="24"/>
          <w:lang w:val="en-GB" w:eastAsia="ja-JP"/>
        </w:rPr>
        <w:tab/>
      </w:r>
      <w:r w:rsidR="006308EC">
        <w:rPr>
          <w:rFonts w:ascii="Times New Roman" w:hAnsi="Times New Roman" w:cs="Times New Roman"/>
          <w:sz w:val="24"/>
          <w:szCs w:val="24"/>
        </w:rPr>
        <w:t xml:space="preserve">H. </w:t>
      </w:r>
      <w:proofErr w:type="spellStart"/>
      <w:r w:rsidR="006308EC">
        <w:rPr>
          <w:rFonts w:ascii="Times New Roman" w:hAnsi="Times New Roman" w:cs="Times New Roman"/>
          <w:sz w:val="24"/>
          <w:szCs w:val="24"/>
        </w:rPr>
        <w:t>Rothenhöfer</w:t>
      </w:r>
      <w:proofErr w:type="spellEnd"/>
      <w:r w:rsidR="006308EC">
        <w:rPr>
          <w:rFonts w:ascii="Times New Roman" w:hAnsi="Times New Roman" w:cs="Times New Roman"/>
          <w:sz w:val="24"/>
          <w:szCs w:val="24"/>
        </w:rPr>
        <w:t xml:space="preserve">, A. </w:t>
      </w:r>
      <w:proofErr w:type="spellStart"/>
      <w:r w:rsidR="006308EC">
        <w:rPr>
          <w:rFonts w:ascii="Times New Roman" w:hAnsi="Times New Roman" w:cs="Times New Roman"/>
          <w:sz w:val="24"/>
          <w:szCs w:val="24"/>
        </w:rPr>
        <w:t>Manke</w:t>
      </w:r>
      <w:proofErr w:type="spellEnd"/>
      <w:r w:rsidR="006308EC">
        <w:rPr>
          <w:rFonts w:ascii="Times New Roman" w:hAnsi="Times New Roman" w:cs="Times New Roman"/>
          <w:sz w:val="24"/>
          <w:szCs w:val="24"/>
        </w:rPr>
        <w:t xml:space="preserve">, Monitoring with good cause – Basic principles and current status, PVP2013-97029, ASME 2013 </w:t>
      </w:r>
      <w:r w:rsidR="006308EC" w:rsidRPr="00704CA8">
        <w:rPr>
          <w:rFonts w:ascii="Times New Roman" w:hAnsi="Times New Roman" w:cs="Times New Roman"/>
          <w:sz w:val="24"/>
          <w:szCs w:val="24"/>
        </w:rPr>
        <w:t>Pressure Vessels &amp; Piping Division Conference</w:t>
      </w:r>
      <w:r w:rsidR="006308EC">
        <w:rPr>
          <w:rFonts w:ascii="Times New Roman" w:hAnsi="Times New Roman" w:cs="Times New Roman"/>
          <w:sz w:val="24"/>
          <w:szCs w:val="24"/>
        </w:rPr>
        <w:t>, Paris, France, 2013</w:t>
      </w:r>
    </w:p>
    <w:p w14:paraId="66D37153" w14:textId="3B7CE5CA" w:rsidR="00D033D2" w:rsidRPr="00A70D35" w:rsidRDefault="003D7E92" w:rsidP="003B39D9">
      <w:pPr>
        <w:pStyle w:val="References"/>
        <w:tabs>
          <w:tab w:val="left" w:pos="900"/>
        </w:tabs>
        <w:ind w:left="567" w:hanging="567"/>
        <w:jc w:val="both"/>
        <w:rPr>
          <w:rFonts w:ascii="Times New Roman" w:hAnsi="Times New Roman" w:cs="Times New Roman"/>
          <w:sz w:val="24"/>
          <w:szCs w:val="24"/>
          <w:lang w:val="en-GB"/>
        </w:rPr>
      </w:pPr>
      <w:r>
        <w:rPr>
          <w:rFonts w:ascii="Times New Roman" w:hAnsi="Times New Roman" w:cs="Times New Roman"/>
          <w:sz w:val="24"/>
          <w:szCs w:val="24"/>
          <w:lang w:val="en-GB" w:eastAsia="ja-JP"/>
        </w:rPr>
        <w:t>[</w:t>
      </w:r>
      <w:r w:rsidR="00374C76">
        <w:rPr>
          <w:rFonts w:ascii="Times New Roman" w:hAnsi="Times New Roman" w:cs="Times New Roman"/>
          <w:sz w:val="24"/>
          <w:szCs w:val="24"/>
          <w:lang w:val="en-GB" w:eastAsia="ja-JP"/>
        </w:rPr>
        <w:t>27</w:t>
      </w:r>
      <w:r w:rsidR="00D033D2" w:rsidRPr="00537252">
        <w:rPr>
          <w:rFonts w:ascii="Times New Roman" w:hAnsi="Times New Roman" w:cs="Times New Roman"/>
          <w:sz w:val="24"/>
          <w:szCs w:val="24"/>
          <w:lang w:val="en-GB" w:eastAsia="ja-JP"/>
        </w:rPr>
        <w:t>]</w:t>
      </w:r>
      <w:r w:rsidR="00D033D2" w:rsidRPr="00537252">
        <w:rPr>
          <w:rFonts w:ascii="Times New Roman" w:hAnsi="Times New Roman" w:cs="Times New Roman"/>
          <w:sz w:val="24"/>
          <w:szCs w:val="24"/>
          <w:lang w:val="en-GB" w:eastAsia="ja-JP"/>
        </w:rPr>
        <w:tab/>
        <w:t xml:space="preserve">B. </w:t>
      </w:r>
      <w:proofErr w:type="spellStart"/>
      <w:r w:rsidR="00D033D2" w:rsidRPr="00537252">
        <w:rPr>
          <w:rFonts w:ascii="Times New Roman" w:hAnsi="Times New Roman" w:cs="Times New Roman"/>
          <w:sz w:val="24"/>
          <w:szCs w:val="24"/>
          <w:lang w:val="en-GB" w:eastAsia="ja-JP"/>
        </w:rPr>
        <w:t>Jouan</w:t>
      </w:r>
      <w:proofErr w:type="spellEnd"/>
      <w:r w:rsidR="00D033D2" w:rsidRPr="00537252">
        <w:rPr>
          <w:rFonts w:ascii="Times New Roman" w:hAnsi="Times New Roman" w:cs="Times New Roman"/>
          <w:sz w:val="24"/>
          <w:szCs w:val="24"/>
          <w:lang w:val="en-GB" w:eastAsia="ja-JP"/>
        </w:rPr>
        <w:t xml:space="preserve">, S. </w:t>
      </w:r>
      <w:proofErr w:type="spellStart"/>
      <w:r w:rsidR="00D033D2" w:rsidRPr="00537252">
        <w:rPr>
          <w:rFonts w:ascii="Times New Roman" w:hAnsi="Times New Roman" w:cs="Times New Roman"/>
          <w:sz w:val="24"/>
          <w:szCs w:val="24"/>
          <w:lang w:val="en-GB" w:eastAsia="ja-JP"/>
        </w:rPr>
        <w:t>Bergholz</w:t>
      </w:r>
      <w:proofErr w:type="spellEnd"/>
      <w:r w:rsidR="00537252" w:rsidRPr="00537252">
        <w:rPr>
          <w:rFonts w:ascii="Times New Roman" w:hAnsi="Times New Roman" w:cs="Times New Roman"/>
          <w:sz w:val="24"/>
          <w:szCs w:val="24"/>
          <w:lang w:val="en-GB" w:eastAsia="ja-JP"/>
        </w:rPr>
        <w:t xml:space="preserve">, J. </w:t>
      </w:r>
      <w:r w:rsidR="00537252" w:rsidRPr="00A70D35">
        <w:rPr>
          <w:rFonts w:ascii="Times New Roman" w:hAnsi="Times New Roman" w:cs="Times New Roman"/>
          <w:sz w:val="24"/>
          <w:szCs w:val="24"/>
          <w:lang w:val="en-GB" w:eastAsia="ja-JP"/>
        </w:rPr>
        <w:t xml:space="preserve">Rudolph, G. König, A. </w:t>
      </w:r>
      <w:proofErr w:type="spellStart"/>
      <w:r w:rsidR="00537252" w:rsidRPr="00A70D35">
        <w:rPr>
          <w:rFonts w:ascii="Times New Roman" w:hAnsi="Times New Roman" w:cs="Times New Roman"/>
          <w:sz w:val="24"/>
          <w:szCs w:val="24"/>
          <w:lang w:val="en-GB" w:eastAsia="ja-JP"/>
        </w:rPr>
        <w:t>Manke</w:t>
      </w:r>
      <w:proofErr w:type="spellEnd"/>
      <w:r w:rsidR="00537252" w:rsidRPr="00A70D35">
        <w:rPr>
          <w:rFonts w:ascii="Times New Roman" w:hAnsi="Times New Roman" w:cs="Times New Roman"/>
          <w:sz w:val="24"/>
          <w:szCs w:val="24"/>
          <w:lang w:val="en-GB" w:eastAsia="ja-JP"/>
        </w:rPr>
        <w:t xml:space="preserve">, Automatic fatigue monitoring based on real loads – Calculation </w:t>
      </w:r>
      <w:r w:rsidR="00537252">
        <w:rPr>
          <w:rFonts w:ascii="Times New Roman" w:hAnsi="Times New Roman" w:cs="Times New Roman"/>
          <w:sz w:val="24"/>
          <w:szCs w:val="24"/>
          <w:lang w:val="en-GB" w:eastAsia="ja-JP"/>
        </w:rPr>
        <w:t xml:space="preserve">example of a flange, PVP2013-97660, </w:t>
      </w:r>
      <w:r w:rsidR="00537252">
        <w:rPr>
          <w:rFonts w:ascii="Times New Roman" w:hAnsi="Times New Roman" w:cs="Times New Roman"/>
          <w:sz w:val="24"/>
          <w:szCs w:val="24"/>
        </w:rPr>
        <w:t xml:space="preserve">ASME 2013 </w:t>
      </w:r>
      <w:r w:rsidR="00537252" w:rsidRPr="00704CA8">
        <w:rPr>
          <w:rFonts w:ascii="Times New Roman" w:hAnsi="Times New Roman" w:cs="Times New Roman"/>
          <w:sz w:val="24"/>
          <w:szCs w:val="24"/>
        </w:rPr>
        <w:t>Pressure Vessels &amp; Piping Division Conference</w:t>
      </w:r>
      <w:r w:rsidR="00537252">
        <w:rPr>
          <w:rFonts w:ascii="Times New Roman" w:hAnsi="Times New Roman" w:cs="Times New Roman"/>
          <w:sz w:val="24"/>
          <w:szCs w:val="24"/>
        </w:rPr>
        <w:t>, Paris, France, 2013</w:t>
      </w:r>
    </w:p>
    <w:p w14:paraId="58AF6839" w14:textId="2394A23D" w:rsidR="00500CCD" w:rsidRDefault="00784215" w:rsidP="003B39D9">
      <w:pPr>
        <w:pStyle w:val="References"/>
        <w:tabs>
          <w:tab w:val="left" w:pos="900"/>
        </w:tabs>
        <w:ind w:left="567" w:hanging="567"/>
        <w:jc w:val="both"/>
        <w:rPr>
          <w:rFonts w:ascii="Times New Roman" w:hAnsi="Times New Roman" w:cs="Times New Roman"/>
          <w:sz w:val="24"/>
          <w:szCs w:val="24"/>
        </w:rPr>
      </w:pPr>
      <w:r>
        <w:rPr>
          <w:rFonts w:ascii="Times New Roman" w:hAnsi="Times New Roman" w:cs="Times New Roman"/>
          <w:sz w:val="24"/>
          <w:szCs w:val="24"/>
          <w:lang w:val="en-GB" w:eastAsia="ja-JP"/>
        </w:rPr>
        <w:t>[</w:t>
      </w:r>
      <w:r w:rsidR="00374C76">
        <w:rPr>
          <w:rFonts w:ascii="Times New Roman" w:hAnsi="Times New Roman" w:cs="Times New Roman"/>
          <w:sz w:val="24"/>
          <w:szCs w:val="24"/>
          <w:lang w:val="en-GB" w:eastAsia="ja-JP"/>
        </w:rPr>
        <w:t>28</w:t>
      </w:r>
      <w:r w:rsidR="00500CCD">
        <w:rPr>
          <w:rFonts w:ascii="Times New Roman" w:hAnsi="Times New Roman" w:cs="Times New Roman"/>
          <w:sz w:val="24"/>
          <w:szCs w:val="24"/>
          <w:lang w:val="en-GB" w:eastAsia="ja-JP"/>
        </w:rPr>
        <w:t>]</w:t>
      </w:r>
      <w:r w:rsidR="00500CCD">
        <w:rPr>
          <w:rFonts w:ascii="Times New Roman" w:hAnsi="Times New Roman" w:cs="Times New Roman"/>
          <w:sz w:val="24"/>
          <w:szCs w:val="24"/>
          <w:lang w:val="en-GB" w:eastAsia="ja-JP"/>
        </w:rPr>
        <w:tab/>
      </w:r>
      <w:r w:rsidR="00500CCD" w:rsidRPr="00A70D35">
        <w:rPr>
          <w:rFonts w:ascii="Times New Roman" w:hAnsi="Times New Roman" w:cs="Times New Roman"/>
          <w:sz w:val="24"/>
          <w:szCs w:val="24"/>
        </w:rPr>
        <w:t xml:space="preserve">M.H.C. </w:t>
      </w:r>
      <w:proofErr w:type="spellStart"/>
      <w:r w:rsidR="00500CCD" w:rsidRPr="00A70D35">
        <w:rPr>
          <w:rFonts w:ascii="Times New Roman" w:hAnsi="Times New Roman" w:cs="Times New Roman"/>
          <w:sz w:val="24"/>
          <w:szCs w:val="24"/>
        </w:rPr>
        <w:t>Hannink</w:t>
      </w:r>
      <w:proofErr w:type="spellEnd"/>
      <w:r w:rsidR="00500CCD" w:rsidRPr="00A70D35">
        <w:rPr>
          <w:rFonts w:ascii="Times New Roman" w:hAnsi="Times New Roman" w:cs="Times New Roman"/>
          <w:sz w:val="24"/>
          <w:szCs w:val="24"/>
        </w:rPr>
        <w:t xml:space="preserve">, C.G.M. de </w:t>
      </w:r>
      <w:proofErr w:type="spellStart"/>
      <w:r w:rsidR="00500CCD" w:rsidRPr="00A70D35">
        <w:rPr>
          <w:rFonts w:ascii="Times New Roman" w:hAnsi="Times New Roman" w:cs="Times New Roman"/>
          <w:sz w:val="24"/>
          <w:szCs w:val="24"/>
        </w:rPr>
        <w:t>Bont</w:t>
      </w:r>
      <w:proofErr w:type="spellEnd"/>
      <w:r w:rsidR="00500CCD" w:rsidRPr="00A70D35">
        <w:rPr>
          <w:rFonts w:ascii="Times New Roman" w:hAnsi="Times New Roman" w:cs="Times New Roman"/>
          <w:sz w:val="24"/>
          <w:szCs w:val="24"/>
        </w:rPr>
        <w:t xml:space="preserve">, F.J. </w:t>
      </w:r>
      <w:proofErr w:type="spellStart"/>
      <w:r w:rsidR="00500CCD" w:rsidRPr="00A70D35">
        <w:rPr>
          <w:rFonts w:ascii="Times New Roman" w:hAnsi="Times New Roman" w:cs="Times New Roman"/>
          <w:sz w:val="24"/>
          <w:szCs w:val="24"/>
        </w:rPr>
        <w:t>Blom</w:t>
      </w:r>
      <w:proofErr w:type="spellEnd"/>
      <w:r w:rsidR="00500CCD" w:rsidRPr="00A70D35">
        <w:rPr>
          <w:rFonts w:ascii="Times New Roman" w:hAnsi="Times New Roman" w:cs="Times New Roman"/>
          <w:sz w:val="24"/>
          <w:szCs w:val="24"/>
        </w:rPr>
        <w:t xml:space="preserve">, P.W.B. Quist, A.E. de Jong, W. </w:t>
      </w:r>
      <w:proofErr w:type="spellStart"/>
      <w:r w:rsidR="00500CCD" w:rsidRPr="00A70D35">
        <w:rPr>
          <w:rFonts w:ascii="Times New Roman" w:hAnsi="Times New Roman" w:cs="Times New Roman"/>
          <w:sz w:val="24"/>
          <w:szCs w:val="24"/>
        </w:rPr>
        <w:t>Besuijen</w:t>
      </w:r>
      <w:proofErr w:type="spellEnd"/>
      <w:r w:rsidR="00500CCD" w:rsidRPr="00A70D35">
        <w:rPr>
          <w:rFonts w:ascii="Times New Roman" w:hAnsi="Times New Roman" w:cs="Times New Roman"/>
          <w:sz w:val="24"/>
          <w:szCs w:val="24"/>
        </w:rPr>
        <w:t xml:space="preserve">, Fatigue Management during LTO of NPP </w:t>
      </w:r>
      <w:proofErr w:type="spellStart"/>
      <w:r w:rsidR="00500CCD" w:rsidRPr="00A70D35">
        <w:rPr>
          <w:rFonts w:ascii="Times New Roman" w:hAnsi="Times New Roman" w:cs="Times New Roman"/>
          <w:sz w:val="24"/>
          <w:szCs w:val="24"/>
        </w:rPr>
        <w:t>Borssele</w:t>
      </w:r>
      <w:proofErr w:type="spellEnd"/>
      <w:r w:rsidR="00500CCD" w:rsidRPr="00A70D35">
        <w:rPr>
          <w:rFonts w:ascii="Times New Roman" w:hAnsi="Times New Roman" w:cs="Times New Roman"/>
          <w:sz w:val="24"/>
          <w:szCs w:val="24"/>
        </w:rPr>
        <w:t>, PVP20</w:t>
      </w:r>
      <w:r w:rsidR="00500CCD" w:rsidRPr="00500CCD">
        <w:rPr>
          <w:rFonts w:ascii="Times New Roman" w:hAnsi="Times New Roman" w:cs="Times New Roman"/>
          <w:sz w:val="24"/>
          <w:szCs w:val="24"/>
        </w:rPr>
        <w:t xml:space="preserve">16-63247, </w:t>
      </w:r>
      <w:r w:rsidR="00500CCD" w:rsidRPr="00A70D35">
        <w:rPr>
          <w:rFonts w:ascii="Times New Roman" w:hAnsi="Times New Roman" w:cs="Times New Roman"/>
          <w:sz w:val="24"/>
          <w:szCs w:val="24"/>
        </w:rPr>
        <w:t>ASME 2016 Pressure Vessels &amp; Piping Division Conference, Vancouver, Canada, 2016</w:t>
      </w:r>
    </w:p>
    <w:p w14:paraId="5C3E4233" w14:textId="3A1D6272" w:rsidR="008775BD" w:rsidRDefault="002A7E07" w:rsidP="003B39D9">
      <w:pPr>
        <w:pStyle w:val="References"/>
        <w:tabs>
          <w:tab w:val="left" w:pos="900"/>
        </w:tabs>
        <w:ind w:left="567" w:hanging="567"/>
        <w:jc w:val="both"/>
        <w:rPr>
          <w:rFonts w:ascii="Times New Roman" w:hAnsi="Times New Roman" w:cs="Times New Roman"/>
          <w:sz w:val="24"/>
          <w:szCs w:val="24"/>
        </w:rPr>
      </w:pPr>
      <w:r>
        <w:rPr>
          <w:rFonts w:ascii="Times New Roman" w:hAnsi="Times New Roman" w:cs="Times New Roman"/>
          <w:sz w:val="24"/>
          <w:szCs w:val="24"/>
        </w:rPr>
        <w:t>[</w:t>
      </w:r>
      <w:r w:rsidR="00374C76">
        <w:rPr>
          <w:rFonts w:ascii="Times New Roman" w:hAnsi="Times New Roman" w:cs="Times New Roman"/>
          <w:sz w:val="24"/>
          <w:szCs w:val="24"/>
        </w:rPr>
        <w:t>29</w:t>
      </w:r>
      <w:r w:rsidR="008775BD">
        <w:rPr>
          <w:rFonts w:ascii="Times New Roman" w:hAnsi="Times New Roman" w:cs="Times New Roman"/>
          <w:sz w:val="24"/>
          <w:szCs w:val="24"/>
        </w:rPr>
        <w:t>]</w:t>
      </w:r>
      <w:r w:rsidR="008775BD">
        <w:rPr>
          <w:rFonts w:ascii="Times New Roman" w:hAnsi="Times New Roman" w:cs="Times New Roman"/>
          <w:sz w:val="24"/>
          <w:szCs w:val="24"/>
        </w:rPr>
        <w:tab/>
        <w:t xml:space="preserve">UNITED STATES NUCLEAR REGULATORY COMMISSION, 10 CFR Part 50, Appendix B, Quality Assurance criteria for Nuclear Power plants, Office of the Federal, Register, National Archives and Records Administration, UNRC, </w:t>
      </w:r>
      <w:r w:rsidR="000609DE">
        <w:rPr>
          <w:rFonts w:ascii="Times New Roman" w:hAnsi="Times New Roman" w:cs="Times New Roman"/>
          <w:sz w:val="24"/>
          <w:szCs w:val="24"/>
        </w:rPr>
        <w:t>Latest Edition</w:t>
      </w:r>
    </w:p>
    <w:p w14:paraId="5B7E8328" w14:textId="77777777" w:rsidR="008B20F5" w:rsidRPr="00A70D35" w:rsidRDefault="008B20F5" w:rsidP="00662B1D">
      <w:pPr>
        <w:pStyle w:val="References"/>
        <w:tabs>
          <w:tab w:val="left" w:pos="900"/>
        </w:tabs>
        <w:ind w:left="0" w:firstLine="0"/>
        <w:rPr>
          <w:rFonts w:ascii="Times New Roman" w:hAnsi="Times New Roman" w:cs="Times New Roman"/>
          <w:sz w:val="24"/>
          <w:szCs w:val="24"/>
          <w:lang w:val="en-GB"/>
        </w:rPr>
      </w:pPr>
    </w:p>
    <w:sectPr w:rsidR="008B20F5" w:rsidRPr="00A70D35" w:rsidSect="00662B1D">
      <w:footerReference w:type="even" r:id="rId12"/>
      <w:footerReference w:type="default" r:id="rId13"/>
      <w:pgSz w:w="11906" w:h="16838"/>
      <w:pgMar w:top="1417" w:right="1274"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9956A1" w14:textId="77777777" w:rsidR="00C9651A" w:rsidRDefault="00C9651A">
      <w:r>
        <w:separator/>
      </w:r>
    </w:p>
  </w:endnote>
  <w:endnote w:type="continuationSeparator" w:id="0">
    <w:p w14:paraId="78C3CB82" w14:textId="77777777" w:rsidR="00C9651A" w:rsidRDefault="00C96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Futura Std Book">
    <w:altName w:val="Century Goth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C8F71" w14:textId="77777777" w:rsidR="000D2BCB" w:rsidRDefault="000D2BCB" w:rsidP="00F84AD6">
    <w:pPr>
      <w:tabs>
        <w:tab w:val="center" w:pos="4680"/>
        <w:tab w:val="right" w:pos="9360"/>
      </w:tabs>
    </w:pPr>
    <w:r w:rsidRPr="00E12010">
      <w:rPr>
        <w:sz w:val="20"/>
      </w:rPr>
      <w:t>NUREG-1801, Rev. 2</w:t>
    </w:r>
    <w:r>
      <w:rPr>
        <w:sz w:val="20"/>
      </w:rPr>
      <w:tab/>
      <w:t>X</w:t>
    </w:r>
    <w:r w:rsidRPr="00E12010">
      <w:rPr>
        <w:sz w:val="20"/>
      </w:rPr>
      <w:t>-</w:t>
    </w:r>
    <w:r w:rsidRPr="00E12010">
      <w:rPr>
        <w:sz w:val="20"/>
      </w:rPr>
      <w:fldChar w:fldCharType="begin"/>
    </w:r>
    <w:r w:rsidRPr="00E12010">
      <w:rPr>
        <w:sz w:val="20"/>
      </w:rPr>
      <w:instrText xml:space="preserve"> PAGE  \* MERGEFORMAT </w:instrText>
    </w:r>
    <w:r w:rsidRPr="00E12010">
      <w:rPr>
        <w:sz w:val="20"/>
      </w:rPr>
      <w:fldChar w:fldCharType="separate"/>
    </w:r>
    <w:r>
      <w:rPr>
        <w:noProof/>
        <w:sz w:val="20"/>
      </w:rPr>
      <w:t>2</w:t>
    </w:r>
    <w:r w:rsidRPr="00E12010">
      <w:rPr>
        <w:sz w:val="20"/>
      </w:rPr>
      <w:fldChar w:fldCharType="end"/>
    </w:r>
    <w:r w:rsidRPr="00E12010">
      <w:rPr>
        <w:sz w:val="20"/>
      </w:rPr>
      <w:tab/>
      <w:t>December 2010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59670" w14:textId="29C76DCA" w:rsidR="000D2BCB" w:rsidRPr="00AC1127" w:rsidRDefault="000D2BCB" w:rsidP="00F84AD6">
    <w:pPr>
      <w:tabs>
        <w:tab w:val="center" w:pos="4680"/>
        <w:tab w:val="right" w:pos="9360"/>
      </w:tabs>
      <w:rPr>
        <w:sz w:val="20"/>
      </w:rPr>
    </w:pPr>
    <w:r>
      <w:rPr>
        <w:sz w:val="20"/>
      </w:rPr>
      <w:tab/>
    </w:r>
    <w:r w:rsidRPr="00E12010">
      <w:rPr>
        <w:sz w:val="20"/>
      </w:rPr>
      <w:fldChar w:fldCharType="begin"/>
    </w:r>
    <w:r w:rsidRPr="00E12010">
      <w:rPr>
        <w:sz w:val="20"/>
      </w:rPr>
      <w:instrText xml:space="preserve"> PAGE  \* MERGEFORMAT </w:instrText>
    </w:r>
    <w:r w:rsidRPr="00E12010">
      <w:rPr>
        <w:sz w:val="20"/>
      </w:rPr>
      <w:fldChar w:fldCharType="separate"/>
    </w:r>
    <w:r w:rsidR="001609CF">
      <w:rPr>
        <w:noProof/>
        <w:sz w:val="20"/>
      </w:rPr>
      <w:t>7</w:t>
    </w:r>
    <w:r w:rsidRPr="00E12010">
      <w:rPr>
        <w:sz w:val="20"/>
      </w:rPr>
      <w:fldChar w:fldCharType="end"/>
    </w:r>
    <w:r w:rsidRPr="00E12010">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0CE8D5" w14:textId="77777777" w:rsidR="00C9651A" w:rsidRDefault="00C9651A">
      <w:r>
        <w:separator/>
      </w:r>
    </w:p>
  </w:footnote>
  <w:footnote w:type="continuationSeparator" w:id="0">
    <w:p w14:paraId="609BD116" w14:textId="77777777" w:rsidR="00C9651A" w:rsidRDefault="00C965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33B64D96"/>
    <w:lvl w:ilvl="0">
      <w:start w:val="1"/>
      <w:numFmt w:val="bullet"/>
      <w:pStyle w:val="Bullet"/>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16A8AA92"/>
    <w:lvl w:ilvl="0">
      <w:start w:val="1"/>
      <w:numFmt w:val="bullet"/>
      <w:pStyle w:val="Heading2"/>
      <w:lvlText w:val=""/>
      <w:lvlJc w:val="left"/>
      <w:pPr>
        <w:tabs>
          <w:tab w:val="num" w:pos="360"/>
        </w:tabs>
        <w:ind w:left="360" w:hanging="360"/>
      </w:pPr>
      <w:rPr>
        <w:rFonts w:ascii="Symbol" w:hAnsi="Symbol" w:hint="default"/>
      </w:rPr>
    </w:lvl>
  </w:abstractNum>
  <w:abstractNum w:abstractNumId="2" w15:restartNumberingAfterBreak="0">
    <w:nsid w:val="107054DE"/>
    <w:multiLevelType w:val="hybridMultilevel"/>
    <w:tmpl w:val="440857E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60F4BC1"/>
    <w:multiLevelType w:val="singleLevel"/>
    <w:tmpl w:val="151AEF70"/>
    <w:lvl w:ilvl="0">
      <w:start w:val="1"/>
      <w:numFmt w:val="decimal"/>
      <w:lvlText w:val="%1."/>
      <w:lvlJc w:val="left"/>
      <w:pPr>
        <w:tabs>
          <w:tab w:val="num" w:pos="360"/>
        </w:tabs>
        <w:ind w:left="360" w:hanging="360"/>
      </w:pPr>
      <w:rPr>
        <w:rFonts w:cs="Times New Roman" w:hint="default"/>
        <w:b/>
      </w:rPr>
    </w:lvl>
  </w:abstractNum>
  <w:abstractNum w:abstractNumId="4" w15:restartNumberingAfterBreak="0">
    <w:nsid w:val="5660760C"/>
    <w:multiLevelType w:val="hybridMultilevel"/>
    <w:tmpl w:val="02B2B638"/>
    <w:lvl w:ilvl="0" w:tplc="04160001">
      <w:start w:val="1"/>
      <w:numFmt w:val="bullet"/>
      <w:lvlText w:val=""/>
      <w:lvlJc w:val="left"/>
      <w:pPr>
        <w:tabs>
          <w:tab w:val="num" w:pos="1080"/>
        </w:tabs>
        <w:ind w:left="1080" w:hanging="360"/>
      </w:pPr>
      <w:rPr>
        <w:rFonts w:ascii="Symbol" w:hAnsi="Symbol" w:hint="default"/>
      </w:rPr>
    </w:lvl>
    <w:lvl w:ilvl="1" w:tplc="04160003">
      <w:start w:val="1"/>
      <w:numFmt w:val="bullet"/>
      <w:lvlText w:val="o"/>
      <w:lvlJc w:val="left"/>
      <w:pPr>
        <w:tabs>
          <w:tab w:val="num" w:pos="1800"/>
        </w:tabs>
        <w:ind w:left="1800" w:hanging="360"/>
      </w:pPr>
      <w:rPr>
        <w:rFonts w:ascii="Courier New" w:hAnsi="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5923521E"/>
    <w:multiLevelType w:val="hybridMultilevel"/>
    <w:tmpl w:val="206E9F04"/>
    <w:lvl w:ilvl="0" w:tplc="F20A18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FC95272"/>
    <w:multiLevelType w:val="hybridMultilevel"/>
    <w:tmpl w:val="3FB8D298"/>
    <w:lvl w:ilvl="0" w:tplc="1C0E94C8">
      <w:start w:val="1"/>
      <w:numFmt w:val="bullet"/>
      <w:lvlText w:val=""/>
      <w:lvlJc w:val="left"/>
      <w:pPr>
        <w:tabs>
          <w:tab w:val="num" w:pos="1080"/>
        </w:tabs>
        <w:ind w:left="1080" w:hanging="360"/>
      </w:pPr>
      <w:rPr>
        <w:rFonts w:ascii="Symbol" w:hAnsi="Symbol" w:hint="default"/>
      </w:rPr>
    </w:lvl>
    <w:lvl w:ilvl="1" w:tplc="04160003">
      <w:start w:val="1"/>
      <w:numFmt w:val="bullet"/>
      <w:lvlText w:val="o"/>
      <w:lvlJc w:val="left"/>
      <w:pPr>
        <w:tabs>
          <w:tab w:val="num" w:pos="1800"/>
        </w:tabs>
        <w:ind w:left="1800" w:hanging="360"/>
      </w:pPr>
      <w:rPr>
        <w:rFonts w:ascii="Courier New" w:hAnsi="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num>
  <w:num w:numId="3">
    <w:abstractNumId w:val="1"/>
  </w:num>
  <w:num w:numId="4">
    <w:abstractNumId w:val="0"/>
  </w:num>
  <w:num w:numId="5">
    <w:abstractNumId w:val="1"/>
  </w:num>
  <w:num w:numId="6">
    <w:abstractNumId w:val="1"/>
  </w:num>
  <w:num w:numId="7">
    <w:abstractNumId w:val="3"/>
  </w:num>
  <w:num w:numId="8">
    <w:abstractNumId w:val="4"/>
  </w:num>
  <w:num w:numId="9">
    <w:abstractNumId w:val="2"/>
  </w:num>
  <w:num w:numId="10">
    <w:abstractNumId w:val="1"/>
  </w:num>
  <w:num w:numId="11">
    <w:abstractNumId w:val="5"/>
  </w:num>
  <w:num w:numId="12">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AD6"/>
    <w:rsid w:val="00004CCA"/>
    <w:rsid w:val="000062F9"/>
    <w:rsid w:val="00010691"/>
    <w:rsid w:val="00011FA7"/>
    <w:rsid w:val="0001291C"/>
    <w:rsid w:val="00015AB8"/>
    <w:rsid w:val="000161E9"/>
    <w:rsid w:val="0002000D"/>
    <w:rsid w:val="00020372"/>
    <w:rsid w:val="00021D8B"/>
    <w:rsid w:val="00022637"/>
    <w:rsid w:val="00032551"/>
    <w:rsid w:val="00033F56"/>
    <w:rsid w:val="00034313"/>
    <w:rsid w:val="00042918"/>
    <w:rsid w:val="0005309E"/>
    <w:rsid w:val="000609DE"/>
    <w:rsid w:val="00061098"/>
    <w:rsid w:val="000640D3"/>
    <w:rsid w:val="0006442B"/>
    <w:rsid w:val="00064936"/>
    <w:rsid w:val="00065F54"/>
    <w:rsid w:val="000703C6"/>
    <w:rsid w:val="0008545D"/>
    <w:rsid w:val="00085ED9"/>
    <w:rsid w:val="00087F90"/>
    <w:rsid w:val="000936C2"/>
    <w:rsid w:val="00094765"/>
    <w:rsid w:val="00094833"/>
    <w:rsid w:val="0009682F"/>
    <w:rsid w:val="00097245"/>
    <w:rsid w:val="00097DC1"/>
    <w:rsid w:val="000A14F0"/>
    <w:rsid w:val="000A7AA4"/>
    <w:rsid w:val="000B2927"/>
    <w:rsid w:val="000B6BCD"/>
    <w:rsid w:val="000C2FBA"/>
    <w:rsid w:val="000C3D95"/>
    <w:rsid w:val="000C4C57"/>
    <w:rsid w:val="000C6598"/>
    <w:rsid w:val="000C75CE"/>
    <w:rsid w:val="000D2BCB"/>
    <w:rsid w:val="000D5EC3"/>
    <w:rsid w:val="000D703C"/>
    <w:rsid w:val="000D7D96"/>
    <w:rsid w:val="000E050E"/>
    <w:rsid w:val="000E22B1"/>
    <w:rsid w:val="000E37F5"/>
    <w:rsid w:val="000E3D33"/>
    <w:rsid w:val="000E4F51"/>
    <w:rsid w:val="000E5490"/>
    <w:rsid w:val="000E5C1C"/>
    <w:rsid w:val="000E6BAB"/>
    <w:rsid w:val="000E78AB"/>
    <w:rsid w:val="000E79D3"/>
    <w:rsid w:val="000E7AC5"/>
    <w:rsid w:val="000F7598"/>
    <w:rsid w:val="00105C92"/>
    <w:rsid w:val="00105DC2"/>
    <w:rsid w:val="0010745D"/>
    <w:rsid w:val="00111F2E"/>
    <w:rsid w:val="001135D7"/>
    <w:rsid w:val="001161DB"/>
    <w:rsid w:val="00125C48"/>
    <w:rsid w:val="00126734"/>
    <w:rsid w:val="001272BC"/>
    <w:rsid w:val="001324E3"/>
    <w:rsid w:val="001428BF"/>
    <w:rsid w:val="00144901"/>
    <w:rsid w:val="00145649"/>
    <w:rsid w:val="00157AC1"/>
    <w:rsid w:val="001609CF"/>
    <w:rsid w:val="00162858"/>
    <w:rsid w:val="001636EA"/>
    <w:rsid w:val="001655F1"/>
    <w:rsid w:val="00170B32"/>
    <w:rsid w:val="00170CFE"/>
    <w:rsid w:val="001716DF"/>
    <w:rsid w:val="00172A02"/>
    <w:rsid w:val="00177102"/>
    <w:rsid w:val="001810F4"/>
    <w:rsid w:val="00184830"/>
    <w:rsid w:val="00187116"/>
    <w:rsid w:val="00195F1B"/>
    <w:rsid w:val="001A1475"/>
    <w:rsid w:val="001A4B37"/>
    <w:rsid w:val="001A56A9"/>
    <w:rsid w:val="001A613C"/>
    <w:rsid w:val="001B1533"/>
    <w:rsid w:val="001B59EC"/>
    <w:rsid w:val="001B5E7B"/>
    <w:rsid w:val="001B75BC"/>
    <w:rsid w:val="001C0A68"/>
    <w:rsid w:val="001C2DDA"/>
    <w:rsid w:val="001C34BD"/>
    <w:rsid w:val="001C3F5E"/>
    <w:rsid w:val="001D1612"/>
    <w:rsid w:val="001D340F"/>
    <w:rsid w:val="001D3FD9"/>
    <w:rsid w:val="001D4C6F"/>
    <w:rsid w:val="001D5617"/>
    <w:rsid w:val="001D57D6"/>
    <w:rsid w:val="001D6367"/>
    <w:rsid w:val="001E0780"/>
    <w:rsid w:val="001E49C6"/>
    <w:rsid w:val="001E638D"/>
    <w:rsid w:val="001E73FB"/>
    <w:rsid w:val="002025BE"/>
    <w:rsid w:val="00202A30"/>
    <w:rsid w:val="0020330F"/>
    <w:rsid w:val="002043A3"/>
    <w:rsid w:val="00207959"/>
    <w:rsid w:val="002108B0"/>
    <w:rsid w:val="0022062E"/>
    <w:rsid w:val="002219CD"/>
    <w:rsid w:val="00221E4C"/>
    <w:rsid w:val="00222B1A"/>
    <w:rsid w:val="00225409"/>
    <w:rsid w:val="00225EA5"/>
    <w:rsid w:val="002309AF"/>
    <w:rsid w:val="002418F0"/>
    <w:rsid w:val="00242541"/>
    <w:rsid w:val="00243EB4"/>
    <w:rsid w:val="002467DE"/>
    <w:rsid w:val="00247578"/>
    <w:rsid w:val="00252C3A"/>
    <w:rsid w:val="00254308"/>
    <w:rsid w:val="00254D95"/>
    <w:rsid w:val="002554CE"/>
    <w:rsid w:val="00255C06"/>
    <w:rsid w:val="00256869"/>
    <w:rsid w:val="002613AD"/>
    <w:rsid w:val="00261647"/>
    <w:rsid w:val="00263D60"/>
    <w:rsid w:val="00264074"/>
    <w:rsid w:val="002678FC"/>
    <w:rsid w:val="002706CD"/>
    <w:rsid w:val="002736DB"/>
    <w:rsid w:val="00273846"/>
    <w:rsid w:val="00273BB2"/>
    <w:rsid w:val="00275D64"/>
    <w:rsid w:val="00285E3E"/>
    <w:rsid w:val="002875CB"/>
    <w:rsid w:val="002901F9"/>
    <w:rsid w:val="002958FF"/>
    <w:rsid w:val="00297C6A"/>
    <w:rsid w:val="002A1A93"/>
    <w:rsid w:val="002A2B03"/>
    <w:rsid w:val="002A47AC"/>
    <w:rsid w:val="002A51B9"/>
    <w:rsid w:val="002A7E07"/>
    <w:rsid w:val="002A7FE6"/>
    <w:rsid w:val="002B3DF4"/>
    <w:rsid w:val="002B7222"/>
    <w:rsid w:val="002C579C"/>
    <w:rsid w:val="002C608D"/>
    <w:rsid w:val="002C65C4"/>
    <w:rsid w:val="002C7962"/>
    <w:rsid w:val="002D5F55"/>
    <w:rsid w:val="002E0608"/>
    <w:rsid w:val="002E0FA4"/>
    <w:rsid w:val="002E6771"/>
    <w:rsid w:val="002F2E8E"/>
    <w:rsid w:val="002F346E"/>
    <w:rsid w:val="002F7D1E"/>
    <w:rsid w:val="002F7DF4"/>
    <w:rsid w:val="00302CE0"/>
    <w:rsid w:val="003065BA"/>
    <w:rsid w:val="003109DC"/>
    <w:rsid w:val="0031172D"/>
    <w:rsid w:val="00311A61"/>
    <w:rsid w:val="00313E69"/>
    <w:rsid w:val="00316288"/>
    <w:rsid w:val="00321164"/>
    <w:rsid w:val="0032271F"/>
    <w:rsid w:val="00323C2C"/>
    <w:rsid w:val="003333FB"/>
    <w:rsid w:val="0033455B"/>
    <w:rsid w:val="00336D12"/>
    <w:rsid w:val="00342928"/>
    <w:rsid w:val="0035235E"/>
    <w:rsid w:val="00353654"/>
    <w:rsid w:val="00360B4A"/>
    <w:rsid w:val="0036560A"/>
    <w:rsid w:val="00374C76"/>
    <w:rsid w:val="00382782"/>
    <w:rsid w:val="00384BA9"/>
    <w:rsid w:val="00390FD5"/>
    <w:rsid w:val="0039220F"/>
    <w:rsid w:val="00394933"/>
    <w:rsid w:val="00396FDA"/>
    <w:rsid w:val="003A0D65"/>
    <w:rsid w:val="003A608C"/>
    <w:rsid w:val="003A6953"/>
    <w:rsid w:val="003A6A45"/>
    <w:rsid w:val="003B03BB"/>
    <w:rsid w:val="003B27D5"/>
    <w:rsid w:val="003B31FA"/>
    <w:rsid w:val="003B38A3"/>
    <w:rsid w:val="003B38EC"/>
    <w:rsid w:val="003B39D9"/>
    <w:rsid w:val="003B4401"/>
    <w:rsid w:val="003B51AF"/>
    <w:rsid w:val="003B5BC1"/>
    <w:rsid w:val="003B70B2"/>
    <w:rsid w:val="003B7630"/>
    <w:rsid w:val="003C012A"/>
    <w:rsid w:val="003C2C66"/>
    <w:rsid w:val="003C303A"/>
    <w:rsid w:val="003C74CA"/>
    <w:rsid w:val="003C7567"/>
    <w:rsid w:val="003D2054"/>
    <w:rsid w:val="003D5709"/>
    <w:rsid w:val="003D7E92"/>
    <w:rsid w:val="003E77FC"/>
    <w:rsid w:val="003E7968"/>
    <w:rsid w:val="003F1B6A"/>
    <w:rsid w:val="003F1C01"/>
    <w:rsid w:val="003F3DD4"/>
    <w:rsid w:val="0040306F"/>
    <w:rsid w:val="00403D07"/>
    <w:rsid w:val="00410474"/>
    <w:rsid w:val="0041366E"/>
    <w:rsid w:val="00414157"/>
    <w:rsid w:val="0042223C"/>
    <w:rsid w:val="00423599"/>
    <w:rsid w:val="00426ECA"/>
    <w:rsid w:val="00430342"/>
    <w:rsid w:val="00433B0A"/>
    <w:rsid w:val="00435DFC"/>
    <w:rsid w:val="00436525"/>
    <w:rsid w:val="004429D2"/>
    <w:rsid w:val="00443410"/>
    <w:rsid w:val="00445699"/>
    <w:rsid w:val="00446CAF"/>
    <w:rsid w:val="004514DD"/>
    <w:rsid w:val="004528B8"/>
    <w:rsid w:val="0045517F"/>
    <w:rsid w:val="00455C7A"/>
    <w:rsid w:val="004564A6"/>
    <w:rsid w:val="00467670"/>
    <w:rsid w:val="00471359"/>
    <w:rsid w:val="004724AB"/>
    <w:rsid w:val="00474D7E"/>
    <w:rsid w:val="004822AD"/>
    <w:rsid w:val="00482613"/>
    <w:rsid w:val="004859A6"/>
    <w:rsid w:val="00486A57"/>
    <w:rsid w:val="004906DF"/>
    <w:rsid w:val="004A27F1"/>
    <w:rsid w:val="004A5DCE"/>
    <w:rsid w:val="004B5C1E"/>
    <w:rsid w:val="004B6BDF"/>
    <w:rsid w:val="004B75D7"/>
    <w:rsid w:val="004C1EE9"/>
    <w:rsid w:val="004C3446"/>
    <w:rsid w:val="004C4E0F"/>
    <w:rsid w:val="004D08D4"/>
    <w:rsid w:val="004D34DC"/>
    <w:rsid w:val="004D6C1B"/>
    <w:rsid w:val="004E3D90"/>
    <w:rsid w:val="004E75BC"/>
    <w:rsid w:val="004F3044"/>
    <w:rsid w:val="004F4BC6"/>
    <w:rsid w:val="004F6336"/>
    <w:rsid w:val="00500CCD"/>
    <w:rsid w:val="005011EC"/>
    <w:rsid w:val="00503893"/>
    <w:rsid w:val="005070EB"/>
    <w:rsid w:val="00512BA8"/>
    <w:rsid w:val="005148B6"/>
    <w:rsid w:val="00517214"/>
    <w:rsid w:val="00517C36"/>
    <w:rsid w:val="00520871"/>
    <w:rsid w:val="0052363A"/>
    <w:rsid w:val="00524F63"/>
    <w:rsid w:val="005322A7"/>
    <w:rsid w:val="00536B25"/>
    <w:rsid w:val="00536F19"/>
    <w:rsid w:val="00537252"/>
    <w:rsid w:val="00540DFA"/>
    <w:rsid w:val="005423A5"/>
    <w:rsid w:val="00542CA5"/>
    <w:rsid w:val="0054424F"/>
    <w:rsid w:val="00545AA3"/>
    <w:rsid w:val="00547EDC"/>
    <w:rsid w:val="00553330"/>
    <w:rsid w:val="00555086"/>
    <w:rsid w:val="00564416"/>
    <w:rsid w:val="00567D25"/>
    <w:rsid w:val="00571B2C"/>
    <w:rsid w:val="005756CE"/>
    <w:rsid w:val="00576129"/>
    <w:rsid w:val="00576176"/>
    <w:rsid w:val="005765D5"/>
    <w:rsid w:val="00580A85"/>
    <w:rsid w:val="005843AF"/>
    <w:rsid w:val="00584831"/>
    <w:rsid w:val="0058519E"/>
    <w:rsid w:val="00594280"/>
    <w:rsid w:val="00597254"/>
    <w:rsid w:val="00597C4C"/>
    <w:rsid w:val="005A0D49"/>
    <w:rsid w:val="005A19C0"/>
    <w:rsid w:val="005A211C"/>
    <w:rsid w:val="005A25C8"/>
    <w:rsid w:val="005A558B"/>
    <w:rsid w:val="005A6DAC"/>
    <w:rsid w:val="005A710D"/>
    <w:rsid w:val="005B0B02"/>
    <w:rsid w:val="005B2A49"/>
    <w:rsid w:val="005B49A6"/>
    <w:rsid w:val="005B58E7"/>
    <w:rsid w:val="005B5C52"/>
    <w:rsid w:val="005B5D6E"/>
    <w:rsid w:val="005C09A0"/>
    <w:rsid w:val="005C3002"/>
    <w:rsid w:val="005D0404"/>
    <w:rsid w:val="005E4DE0"/>
    <w:rsid w:val="005E60C6"/>
    <w:rsid w:val="005E6D1B"/>
    <w:rsid w:val="005F0956"/>
    <w:rsid w:val="005F4A27"/>
    <w:rsid w:val="00610188"/>
    <w:rsid w:val="00612800"/>
    <w:rsid w:val="00614992"/>
    <w:rsid w:val="006160DD"/>
    <w:rsid w:val="00620570"/>
    <w:rsid w:val="00622F3F"/>
    <w:rsid w:val="00627B6B"/>
    <w:rsid w:val="006308EC"/>
    <w:rsid w:val="00633FD1"/>
    <w:rsid w:val="00640785"/>
    <w:rsid w:val="0064140D"/>
    <w:rsid w:val="00641A49"/>
    <w:rsid w:val="0064292B"/>
    <w:rsid w:val="00644C55"/>
    <w:rsid w:val="006518C5"/>
    <w:rsid w:val="00652A87"/>
    <w:rsid w:val="00652C7B"/>
    <w:rsid w:val="00655854"/>
    <w:rsid w:val="00662A4C"/>
    <w:rsid w:val="00662B1D"/>
    <w:rsid w:val="00665BAE"/>
    <w:rsid w:val="00672341"/>
    <w:rsid w:val="006807D5"/>
    <w:rsid w:val="00680F5D"/>
    <w:rsid w:val="0068247F"/>
    <w:rsid w:val="006848FD"/>
    <w:rsid w:val="00684A23"/>
    <w:rsid w:val="006909B2"/>
    <w:rsid w:val="006947A8"/>
    <w:rsid w:val="00695B52"/>
    <w:rsid w:val="00697953"/>
    <w:rsid w:val="00697974"/>
    <w:rsid w:val="006A124B"/>
    <w:rsid w:val="006A1705"/>
    <w:rsid w:val="006A23BA"/>
    <w:rsid w:val="006B1023"/>
    <w:rsid w:val="006B3513"/>
    <w:rsid w:val="006B355B"/>
    <w:rsid w:val="006B535E"/>
    <w:rsid w:val="006B55B8"/>
    <w:rsid w:val="006B561C"/>
    <w:rsid w:val="006B6872"/>
    <w:rsid w:val="006C0D16"/>
    <w:rsid w:val="006C1B1B"/>
    <w:rsid w:val="006C4AF8"/>
    <w:rsid w:val="006C508B"/>
    <w:rsid w:val="006D0A36"/>
    <w:rsid w:val="006D41ED"/>
    <w:rsid w:val="006D612A"/>
    <w:rsid w:val="006E1283"/>
    <w:rsid w:val="006E1F32"/>
    <w:rsid w:val="006E3B2C"/>
    <w:rsid w:val="006E6BAB"/>
    <w:rsid w:val="006F269D"/>
    <w:rsid w:val="006F3FB1"/>
    <w:rsid w:val="006F5FB7"/>
    <w:rsid w:val="006F754B"/>
    <w:rsid w:val="0070117D"/>
    <w:rsid w:val="00703F32"/>
    <w:rsid w:val="0071521F"/>
    <w:rsid w:val="00716E26"/>
    <w:rsid w:val="00716E65"/>
    <w:rsid w:val="00720CAA"/>
    <w:rsid w:val="00722D07"/>
    <w:rsid w:val="00723493"/>
    <w:rsid w:val="00725D8E"/>
    <w:rsid w:val="0073120A"/>
    <w:rsid w:val="00733AAD"/>
    <w:rsid w:val="00734570"/>
    <w:rsid w:val="007356B6"/>
    <w:rsid w:val="007360BE"/>
    <w:rsid w:val="00742ACB"/>
    <w:rsid w:val="00745330"/>
    <w:rsid w:val="0074609B"/>
    <w:rsid w:val="00747218"/>
    <w:rsid w:val="00754E0B"/>
    <w:rsid w:val="0075649F"/>
    <w:rsid w:val="007565BE"/>
    <w:rsid w:val="00757188"/>
    <w:rsid w:val="007621D1"/>
    <w:rsid w:val="00765CC4"/>
    <w:rsid w:val="00767C9B"/>
    <w:rsid w:val="00770185"/>
    <w:rsid w:val="007733E0"/>
    <w:rsid w:val="00776762"/>
    <w:rsid w:val="00776B7E"/>
    <w:rsid w:val="00784215"/>
    <w:rsid w:val="007847D3"/>
    <w:rsid w:val="007851E1"/>
    <w:rsid w:val="00787182"/>
    <w:rsid w:val="00792BB0"/>
    <w:rsid w:val="00793401"/>
    <w:rsid w:val="00796035"/>
    <w:rsid w:val="00796AA8"/>
    <w:rsid w:val="007970F9"/>
    <w:rsid w:val="0079725B"/>
    <w:rsid w:val="0079756F"/>
    <w:rsid w:val="00797AC3"/>
    <w:rsid w:val="007A0B88"/>
    <w:rsid w:val="007A1673"/>
    <w:rsid w:val="007A592E"/>
    <w:rsid w:val="007A6D99"/>
    <w:rsid w:val="007A7EDB"/>
    <w:rsid w:val="007B1ACD"/>
    <w:rsid w:val="007B200A"/>
    <w:rsid w:val="007B24B0"/>
    <w:rsid w:val="007B2DFE"/>
    <w:rsid w:val="007B3137"/>
    <w:rsid w:val="007B6E69"/>
    <w:rsid w:val="007B780D"/>
    <w:rsid w:val="007C210E"/>
    <w:rsid w:val="007C3065"/>
    <w:rsid w:val="007D5D40"/>
    <w:rsid w:val="007D7A0E"/>
    <w:rsid w:val="007E00C0"/>
    <w:rsid w:val="007E20EA"/>
    <w:rsid w:val="007E2799"/>
    <w:rsid w:val="007E28DC"/>
    <w:rsid w:val="007E38D4"/>
    <w:rsid w:val="007F0D0D"/>
    <w:rsid w:val="007F10E1"/>
    <w:rsid w:val="007F2435"/>
    <w:rsid w:val="007F27AE"/>
    <w:rsid w:val="007F2908"/>
    <w:rsid w:val="007F5D78"/>
    <w:rsid w:val="007F6422"/>
    <w:rsid w:val="007F6970"/>
    <w:rsid w:val="00803FB7"/>
    <w:rsid w:val="00804CE1"/>
    <w:rsid w:val="00805B37"/>
    <w:rsid w:val="00810C61"/>
    <w:rsid w:val="00811D5B"/>
    <w:rsid w:val="008122E1"/>
    <w:rsid w:val="00825A26"/>
    <w:rsid w:val="008265A2"/>
    <w:rsid w:val="00826D35"/>
    <w:rsid w:val="00826FF3"/>
    <w:rsid w:val="00830E84"/>
    <w:rsid w:val="00831D0F"/>
    <w:rsid w:val="008340B4"/>
    <w:rsid w:val="00834A31"/>
    <w:rsid w:val="008355A8"/>
    <w:rsid w:val="00836153"/>
    <w:rsid w:val="008366BB"/>
    <w:rsid w:val="0084207B"/>
    <w:rsid w:val="00843B39"/>
    <w:rsid w:val="00845FB9"/>
    <w:rsid w:val="00847B35"/>
    <w:rsid w:val="00855850"/>
    <w:rsid w:val="00857940"/>
    <w:rsid w:val="00862082"/>
    <w:rsid w:val="00871D04"/>
    <w:rsid w:val="00876031"/>
    <w:rsid w:val="00876195"/>
    <w:rsid w:val="008775BD"/>
    <w:rsid w:val="00880BE8"/>
    <w:rsid w:val="00880F40"/>
    <w:rsid w:val="00883E48"/>
    <w:rsid w:val="008854A3"/>
    <w:rsid w:val="00890478"/>
    <w:rsid w:val="0089175B"/>
    <w:rsid w:val="00891CF0"/>
    <w:rsid w:val="00894D3A"/>
    <w:rsid w:val="008A0F26"/>
    <w:rsid w:val="008A24B2"/>
    <w:rsid w:val="008A4A1D"/>
    <w:rsid w:val="008A756E"/>
    <w:rsid w:val="008B20F5"/>
    <w:rsid w:val="008B2D7B"/>
    <w:rsid w:val="008B54C4"/>
    <w:rsid w:val="008C005D"/>
    <w:rsid w:val="008C5AFA"/>
    <w:rsid w:val="008C5EC4"/>
    <w:rsid w:val="008C71F8"/>
    <w:rsid w:val="008D323F"/>
    <w:rsid w:val="008D49F2"/>
    <w:rsid w:val="008D67A9"/>
    <w:rsid w:val="008D6CB8"/>
    <w:rsid w:val="008E4023"/>
    <w:rsid w:val="008E76A9"/>
    <w:rsid w:val="008F1318"/>
    <w:rsid w:val="008F2B9E"/>
    <w:rsid w:val="008F2D89"/>
    <w:rsid w:val="008F4C2D"/>
    <w:rsid w:val="008F4F81"/>
    <w:rsid w:val="008F641A"/>
    <w:rsid w:val="009044F3"/>
    <w:rsid w:val="0090454A"/>
    <w:rsid w:val="00904843"/>
    <w:rsid w:val="009075F9"/>
    <w:rsid w:val="00907D65"/>
    <w:rsid w:val="00921551"/>
    <w:rsid w:val="009221F6"/>
    <w:rsid w:val="00924DD6"/>
    <w:rsid w:val="009274A6"/>
    <w:rsid w:val="0093326F"/>
    <w:rsid w:val="00934818"/>
    <w:rsid w:val="009350E6"/>
    <w:rsid w:val="00947570"/>
    <w:rsid w:val="009507FC"/>
    <w:rsid w:val="00950838"/>
    <w:rsid w:val="00953232"/>
    <w:rsid w:val="00953F5F"/>
    <w:rsid w:val="00961552"/>
    <w:rsid w:val="00964277"/>
    <w:rsid w:val="009676BB"/>
    <w:rsid w:val="00972045"/>
    <w:rsid w:val="00974385"/>
    <w:rsid w:val="0097798F"/>
    <w:rsid w:val="00981224"/>
    <w:rsid w:val="00991100"/>
    <w:rsid w:val="00997C5E"/>
    <w:rsid w:val="009A0EAC"/>
    <w:rsid w:val="009A1719"/>
    <w:rsid w:val="009A29A2"/>
    <w:rsid w:val="009A2AEE"/>
    <w:rsid w:val="009A2B0B"/>
    <w:rsid w:val="009B4681"/>
    <w:rsid w:val="009C0629"/>
    <w:rsid w:val="009C1E55"/>
    <w:rsid w:val="009C5A4E"/>
    <w:rsid w:val="009C761B"/>
    <w:rsid w:val="009D2315"/>
    <w:rsid w:val="009D2AE6"/>
    <w:rsid w:val="009D30D5"/>
    <w:rsid w:val="009D30E3"/>
    <w:rsid w:val="009D403B"/>
    <w:rsid w:val="009D5241"/>
    <w:rsid w:val="009D71D4"/>
    <w:rsid w:val="009E6721"/>
    <w:rsid w:val="009E73D9"/>
    <w:rsid w:val="009F18D3"/>
    <w:rsid w:val="009F2CB9"/>
    <w:rsid w:val="009F5C2A"/>
    <w:rsid w:val="009F7FAC"/>
    <w:rsid w:val="00A019F7"/>
    <w:rsid w:val="00A02337"/>
    <w:rsid w:val="00A06543"/>
    <w:rsid w:val="00A07A80"/>
    <w:rsid w:val="00A158AF"/>
    <w:rsid w:val="00A1612C"/>
    <w:rsid w:val="00A21B1A"/>
    <w:rsid w:val="00A21E1D"/>
    <w:rsid w:val="00A23D3C"/>
    <w:rsid w:val="00A24064"/>
    <w:rsid w:val="00A24390"/>
    <w:rsid w:val="00A26D51"/>
    <w:rsid w:val="00A30489"/>
    <w:rsid w:val="00A361CD"/>
    <w:rsid w:val="00A37055"/>
    <w:rsid w:val="00A41E1A"/>
    <w:rsid w:val="00A474AF"/>
    <w:rsid w:val="00A5085C"/>
    <w:rsid w:val="00A67AEB"/>
    <w:rsid w:val="00A67DE7"/>
    <w:rsid w:val="00A70D35"/>
    <w:rsid w:val="00A72997"/>
    <w:rsid w:val="00A75A9D"/>
    <w:rsid w:val="00A851C6"/>
    <w:rsid w:val="00A876A7"/>
    <w:rsid w:val="00A91539"/>
    <w:rsid w:val="00A959BE"/>
    <w:rsid w:val="00AA2A67"/>
    <w:rsid w:val="00AA491E"/>
    <w:rsid w:val="00AA5565"/>
    <w:rsid w:val="00AA568D"/>
    <w:rsid w:val="00AB2C59"/>
    <w:rsid w:val="00AC0B59"/>
    <w:rsid w:val="00AC0F87"/>
    <w:rsid w:val="00AC1127"/>
    <w:rsid w:val="00AC2FC0"/>
    <w:rsid w:val="00AD3BD2"/>
    <w:rsid w:val="00AD4A0A"/>
    <w:rsid w:val="00AD5AD0"/>
    <w:rsid w:val="00AD64B5"/>
    <w:rsid w:val="00AD654B"/>
    <w:rsid w:val="00AE27FF"/>
    <w:rsid w:val="00AE3E1B"/>
    <w:rsid w:val="00AE7231"/>
    <w:rsid w:val="00AF0F9D"/>
    <w:rsid w:val="00AF7A30"/>
    <w:rsid w:val="00B046B3"/>
    <w:rsid w:val="00B06877"/>
    <w:rsid w:val="00B0739C"/>
    <w:rsid w:val="00B07DF3"/>
    <w:rsid w:val="00B1355E"/>
    <w:rsid w:val="00B137D6"/>
    <w:rsid w:val="00B16C51"/>
    <w:rsid w:val="00B1703A"/>
    <w:rsid w:val="00B173F0"/>
    <w:rsid w:val="00B21875"/>
    <w:rsid w:val="00B32BF1"/>
    <w:rsid w:val="00B35E43"/>
    <w:rsid w:val="00B3647B"/>
    <w:rsid w:val="00B461E0"/>
    <w:rsid w:val="00B53B39"/>
    <w:rsid w:val="00B57D57"/>
    <w:rsid w:val="00B638E9"/>
    <w:rsid w:val="00B70C8D"/>
    <w:rsid w:val="00B73C51"/>
    <w:rsid w:val="00B84D9A"/>
    <w:rsid w:val="00B84E7B"/>
    <w:rsid w:val="00B86267"/>
    <w:rsid w:val="00B8669C"/>
    <w:rsid w:val="00B901B1"/>
    <w:rsid w:val="00B91484"/>
    <w:rsid w:val="00B93B28"/>
    <w:rsid w:val="00B95C9E"/>
    <w:rsid w:val="00B978FC"/>
    <w:rsid w:val="00BA4BA1"/>
    <w:rsid w:val="00BA541D"/>
    <w:rsid w:val="00BB57BB"/>
    <w:rsid w:val="00BC0AB8"/>
    <w:rsid w:val="00BC47BD"/>
    <w:rsid w:val="00BC4A55"/>
    <w:rsid w:val="00BC4ACE"/>
    <w:rsid w:val="00BD0C5A"/>
    <w:rsid w:val="00BD2627"/>
    <w:rsid w:val="00BD3112"/>
    <w:rsid w:val="00BD4508"/>
    <w:rsid w:val="00BE15B5"/>
    <w:rsid w:val="00BE3C74"/>
    <w:rsid w:val="00BE4CF5"/>
    <w:rsid w:val="00BE4E14"/>
    <w:rsid w:val="00BE60B5"/>
    <w:rsid w:val="00BE7EF2"/>
    <w:rsid w:val="00BF090A"/>
    <w:rsid w:val="00BF1428"/>
    <w:rsid w:val="00BF1BE5"/>
    <w:rsid w:val="00BF44F3"/>
    <w:rsid w:val="00BF6F23"/>
    <w:rsid w:val="00C01CD2"/>
    <w:rsid w:val="00C051C9"/>
    <w:rsid w:val="00C05C97"/>
    <w:rsid w:val="00C05CD9"/>
    <w:rsid w:val="00C14938"/>
    <w:rsid w:val="00C16A40"/>
    <w:rsid w:val="00C16F6B"/>
    <w:rsid w:val="00C17AAD"/>
    <w:rsid w:val="00C205A9"/>
    <w:rsid w:val="00C247D3"/>
    <w:rsid w:val="00C31512"/>
    <w:rsid w:val="00C32497"/>
    <w:rsid w:val="00C33D13"/>
    <w:rsid w:val="00C40D0F"/>
    <w:rsid w:val="00C414C2"/>
    <w:rsid w:val="00C42981"/>
    <w:rsid w:val="00C4394E"/>
    <w:rsid w:val="00C45B5F"/>
    <w:rsid w:val="00C46A2B"/>
    <w:rsid w:val="00C475BF"/>
    <w:rsid w:val="00C512A5"/>
    <w:rsid w:val="00C53501"/>
    <w:rsid w:val="00C53782"/>
    <w:rsid w:val="00C565AC"/>
    <w:rsid w:val="00C57E13"/>
    <w:rsid w:val="00C60113"/>
    <w:rsid w:val="00C62C96"/>
    <w:rsid w:val="00C63BCF"/>
    <w:rsid w:val="00C65001"/>
    <w:rsid w:val="00C67642"/>
    <w:rsid w:val="00C7042B"/>
    <w:rsid w:val="00C82741"/>
    <w:rsid w:val="00C8299F"/>
    <w:rsid w:val="00C83FBB"/>
    <w:rsid w:val="00C84201"/>
    <w:rsid w:val="00C84572"/>
    <w:rsid w:val="00C84D13"/>
    <w:rsid w:val="00C85058"/>
    <w:rsid w:val="00C85BF8"/>
    <w:rsid w:val="00C91AB8"/>
    <w:rsid w:val="00C9276B"/>
    <w:rsid w:val="00C9298A"/>
    <w:rsid w:val="00C949BD"/>
    <w:rsid w:val="00C9651A"/>
    <w:rsid w:val="00C96B17"/>
    <w:rsid w:val="00CA5129"/>
    <w:rsid w:val="00CA5E77"/>
    <w:rsid w:val="00CA7229"/>
    <w:rsid w:val="00CB0122"/>
    <w:rsid w:val="00CB0689"/>
    <w:rsid w:val="00CB1D7A"/>
    <w:rsid w:val="00CB5840"/>
    <w:rsid w:val="00CC019E"/>
    <w:rsid w:val="00CC0A8E"/>
    <w:rsid w:val="00CC2167"/>
    <w:rsid w:val="00CC5E99"/>
    <w:rsid w:val="00CD1CAF"/>
    <w:rsid w:val="00CD622D"/>
    <w:rsid w:val="00CD65E8"/>
    <w:rsid w:val="00CE150E"/>
    <w:rsid w:val="00CE2CC1"/>
    <w:rsid w:val="00CE47E1"/>
    <w:rsid w:val="00CE5F7C"/>
    <w:rsid w:val="00CE68E1"/>
    <w:rsid w:val="00CE7C20"/>
    <w:rsid w:val="00CE7C24"/>
    <w:rsid w:val="00CF6DAD"/>
    <w:rsid w:val="00CF7806"/>
    <w:rsid w:val="00D033D2"/>
    <w:rsid w:val="00D03C48"/>
    <w:rsid w:val="00D04A20"/>
    <w:rsid w:val="00D05432"/>
    <w:rsid w:val="00D121BE"/>
    <w:rsid w:val="00D1651C"/>
    <w:rsid w:val="00D241FD"/>
    <w:rsid w:val="00D24DBD"/>
    <w:rsid w:val="00D2516A"/>
    <w:rsid w:val="00D262E7"/>
    <w:rsid w:val="00D26C6D"/>
    <w:rsid w:val="00D32B26"/>
    <w:rsid w:val="00D3689A"/>
    <w:rsid w:val="00D510B4"/>
    <w:rsid w:val="00D56F86"/>
    <w:rsid w:val="00D61BBA"/>
    <w:rsid w:val="00D62BAC"/>
    <w:rsid w:val="00D6325D"/>
    <w:rsid w:val="00D63522"/>
    <w:rsid w:val="00D67733"/>
    <w:rsid w:val="00D724C0"/>
    <w:rsid w:val="00D72757"/>
    <w:rsid w:val="00D732AF"/>
    <w:rsid w:val="00D736B3"/>
    <w:rsid w:val="00D76BF9"/>
    <w:rsid w:val="00D8055D"/>
    <w:rsid w:val="00D837DD"/>
    <w:rsid w:val="00D86FE4"/>
    <w:rsid w:val="00D8702E"/>
    <w:rsid w:val="00D92D16"/>
    <w:rsid w:val="00D94360"/>
    <w:rsid w:val="00D95185"/>
    <w:rsid w:val="00D95468"/>
    <w:rsid w:val="00D95712"/>
    <w:rsid w:val="00D95DB3"/>
    <w:rsid w:val="00D97F0A"/>
    <w:rsid w:val="00DA622A"/>
    <w:rsid w:val="00DB4E8A"/>
    <w:rsid w:val="00DC00E1"/>
    <w:rsid w:val="00DC2A56"/>
    <w:rsid w:val="00DC2DE3"/>
    <w:rsid w:val="00DD2D1A"/>
    <w:rsid w:val="00DD57A7"/>
    <w:rsid w:val="00DD610E"/>
    <w:rsid w:val="00DE07AB"/>
    <w:rsid w:val="00DF2184"/>
    <w:rsid w:val="00DF2FA1"/>
    <w:rsid w:val="00DF39BC"/>
    <w:rsid w:val="00DF666F"/>
    <w:rsid w:val="00E01428"/>
    <w:rsid w:val="00E04AED"/>
    <w:rsid w:val="00E0531C"/>
    <w:rsid w:val="00E059D2"/>
    <w:rsid w:val="00E05AE7"/>
    <w:rsid w:val="00E05DD0"/>
    <w:rsid w:val="00E06098"/>
    <w:rsid w:val="00E076B3"/>
    <w:rsid w:val="00E12010"/>
    <w:rsid w:val="00E13FE9"/>
    <w:rsid w:val="00E14E61"/>
    <w:rsid w:val="00E17114"/>
    <w:rsid w:val="00E178D8"/>
    <w:rsid w:val="00E20264"/>
    <w:rsid w:val="00E225DE"/>
    <w:rsid w:val="00E23482"/>
    <w:rsid w:val="00E23990"/>
    <w:rsid w:val="00E2512B"/>
    <w:rsid w:val="00E31603"/>
    <w:rsid w:val="00E354E3"/>
    <w:rsid w:val="00E3739E"/>
    <w:rsid w:val="00E40626"/>
    <w:rsid w:val="00E44BFC"/>
    <w:rsid w:val="00E44C0E"/>
    <w:rsid w:val="00E45D5C"/>
    <w:rsid w:val="00E552B2"/>
    <w:rsid w:val="00E556B2"/>
    <w:rsid w:val="00E6415A"/>
    <w:rsid w:val="00E664DC"/>
    <w:rsid w:val="00E6669F"/>
    <w:rsid w:val="00E709A9"/>
    <w:rsid w:val="00E71C93"/>
    <w:rsid w:val="00E72560"/>
    <w:rsid w:val="00E937ED"/>
    <w:rsid w:val="00E93979"/>
    <w:rsid w:val="00EA5428"/>
    <w:rsid w:val="00EA729C"/>
    <w:rsid w:val="00EA77F8"/>
    <w:rsid w:val="00EB1323"/>
    <w:rsid w:val="00EB5B2B"/>
    <w:rsid w:val="00EB7576"/>
    <w:rsid w:val="00EC342E"/>
    <w:rsid w:val="00ED26BB"/>
    <w:rsid w:val="00ED57EF"/>
    <w:rsid w:val="00ED581B"/>
    <w:rsid w:val="00EF4101"/>
    <w:rsid w:val="00EF4DAC"/>
    <w:rsid w:val="00F1352E"/>
    <w:rsid w:val="00F171C8"/>
    <w:rsid w:val="00F2210A"/>
    <w:rsid w:val="00F2228A"/>
    <w:rsid w:val="00F23F45"/>
    <w:rsid w:val="00F24BE6"/>
    <w:rsid w:val="00F30D90"/>
    <w:rsid w:val="00F405F1"/>
    <w:rsid w:val="00F4489D"/>
    <w:rsid w:val="00F45162"/>
    <w:rsid w:val="00F45AB1"/>
    <w:rsid w:val="00F50C8C"/>
    <w:rsid w:val="00F53029"/>
    <w:rsid w:val="00F53887"/>
    <w:rsid w:val="00F61464"/>
    <w:rsid w:val="00F61825"/>
    <w:rsid w:val="00F618A5"/>
    <w:rsid w:val="00F62F17"/>
    <w:rsid w:val="00F66334"/>
    <w:rsid w:val="00F66BD5"/>
    <w:rsid w:val="00F73F22"/>
    <w:rsid w:val="00F761DC"/>
    <w:rsid w:val="00F76F9D"/>
    <w:rsid w:val="00F83590"/>
    <w:rsid w:val="00F83F69"/>
    <w:rsid w:val="00F84AD6"/>
    <w:rsid w:val="00F8504E"/>
    <w:rsid w:val="00F87BE8"/>
    <w:rsid w:val="00F90633"/>
    <w:rsid w:val="00F92ACE"/>
    <w:rsid w:val="00F96B6C"/>
    <w:rsid w:val="00FA2FB4"/>
    <w:rsid w:val="00FA5A18"/>
    <w:rsid w:val="00FA7382"/>
    <w:rsid w:val="00FB0684"/>
    <w:rsid w:val="00FB195B"/>
    <w:rsid w:val="00FB2136"/>
    <w:rsid w:val="00FB522D"/>
    <w:rsid w:val="00FC4878"/>
    <w:rsid w:val="00FC66C9"/>
    <w:rsid w:val="00FC7C62"/>
    <w:rsid w:val="00FD10FD"/>
    <w:rsid w:val="00FD1C5F"/>
    <w:rsid w:val="00FD6CE1"/>
    <w:rsid w:val="00FE1753"/>
    <w:rsid w:val="00FE2F7B"/>
    <w:rsid w:val="00FE5466"/>
    <w:rsid w:val="00FE7B17"/>
    <w:rsid w:val="00FF046F"/>
    <w:rsid w:val="00FF2FF3"/>
    <w:rsid w:val="00FF62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0C99225"/>
  <w15:chartTrackingRefBased/>
  <w15:docId w15:val="{7C9D0796-0714-44DC-8292-ACC0A0B50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B1A"/>
    <w:rPr>
      <w:rFonts w:ascii="Arial" w:hAnsi="Arial"/>
      <w:sz w:val="22"/>
      <w:lang w:val="en-US" w:eastAsia="en-US"/>
    </w:rPr>
  </w:style>
  <w:style w:type="paragraph" w:styleId="Heading1">
    <w:name w:val="heading 1"/>
    <w:aliases w:val="Heading 1 Char,Char1 Char Char Char,Char1 Char Char Char Char1,Char1 Char Char,Char1 Char Char Char Char Char1,Char1 Char Char Char Char Char Char"/>
    <w:basedOn w:val="Normal"/>
    <w:next w:val="Normal"/>
    <w:link w:val="Heading1Char1"/>
    <w:uiPriority w:val="99"/>
    <w:qFormat/>
    <w:rsid w:val="00747218"/>
    <w:pPr>
      <w:keepNext/>
      <w:tabs>
        <w:tab w:val="num" w:pos="792"/>
      </w:tabs>
      <w:spacing w:before="480" w:after="240"/>
      <w:ind w:left="792" w:hanging="432"/>
      <w:outlineLvl w:val="0"/>
    </w:pPr>
    <w:rPr>
      <w:rFonts w:ascii="Cambria" w:hAnsi="Cambria"/>
      <w:b/>
      <w:bCs/>
      <w:kern w:val="32"/>
      <w:sz w:val="32"/>
      <w:szCs w:val="32"/>
    </w:rPr>
  </w:style>
  <w:style w:type="paragraph" w:styleId="Heading2">
    <w:name w:val="heading 2"/>
    <w:basedOn w:val="Normal"/>
    <w:next w:val="Normal"/>
    <w:link w:val="Heading2Char"/>
    <w:autoRedefine/>
    <w:uiPriority w:val="99"/>
    <w:qFormat/>
    <w:rsid w:val="00747218"/>
    <w:pPr>
      <w:keepNext/>
      <w:numPr>
        <w:ilvl w:val="1"/>
        <w:numId w:val="3"/>
      </w:numPr>
      <w:tabs>
        <w:tab w:val="clear" w:pos="360"/>
        <w:tab w:val="num" w:pos="936"/>
      </w:tabs>
      <w:spacing w:before="240" w:after="60"/>
      <w:ind w:left="936" w:hanging="576"/>
      <w:outlineLvl w:val="1"/>
    </w:pPr>
    <w:rPr>
      <w:rFonts w:ascii="Cambria" w:hAnsi="Cambria"/>
      <w:b/>
      <w:bCs/>
      <w:i/>
      <w:iCs/>
      <w:sz w:val="28"/>
      <w:szCs w:val="28"/>
    </w:rPr>
  </w:style>
  <w:style w:type="paragraph" w:styleId="Heading3">
    <w:name w:val="heading 3"/>
    <w:basedOn w:val="Normal"/>
    <w:next w:val="Normal"/>
    <w:link w:val="Heading3Char"/>
    <w:uiPriority w:val="99"/>
    <w:qFormat/>
    <w:rsid w:val="00F84AD6"/>
    <w:pPr>
      <w:keepNext/>
      <w:spacing w:before="240" w:after="120"/>
      <w:outlineLvl w:val="2"/>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eading 1 Char Char,Char1 Char Char Char Char,Char1 Char Char Char Char1 Char,Char1 Char Char Char1,Char1 Char Char Char Char Char1 Char,Char1 Char Char Char Char Char Char Char"/>
    <w:link w:val="Heading1"/>
    <w:uiPriority w:val="99"/>
    <w:locked/>
    <w:rPr>
      <w:rFonts w:ascii="Cambria" w:hAnsi="Cambria"/>
      <w:b/>
      <w:bCs/>
      <w:kern w:val="32"/>
      <w:sz w:val="32"/>
      <w:szCs w:val="32"/>
      <w:lang w:val="en-US" w:eastAsia="en-US"/>
    </w:rPr>
  </w:style>
  <w:style w:type="character" w:customStyle="1" w:styleId="Heading2Char">
    <w:name w:val="Heading 2 Char"/>
    <w:link w:val="Heading2"/>
    <w:uiPriority w:val="99"/>
    <w:locked/>
    <w:rPr>
      <w:rFonts w:ascii="Cambria" w:hAnsi="Cambria"/>
      <w:b/>
      <w:bCs/>
      <w:i/>
      <w:iCs/>
      <w:sz w:val="28"/>
      <w:szCs w:val="28"/>
      <w:lang w:val="en-US" w:eastAsia="en-US"/>
    </w:rPr>
  </w:style>
  <w:style w:type="character" w:customStyle="1" w:styleId="Heading3Char">
    <w:name w:val="Heading 3 Char"/>
    <w:link w:val="Heading3"/>
    <w:uiPriority w:val="99"/>
    <w:locked/>
    <w:rsid w:val="00F84AD6"/>
    <w:rPr>
      <w:rFonts w:ascii="Arial" w:hAnsi="Arial" w:cs="Times New Roman"/>
      <w:b/>
      <w:sz w:val="26"/>
      <w:lang w:val="en-US" w:eastAsia="en-US"/>
    </w:rPr>
  </w:style>
  <w:style w:type="paragraph" w:customStyle="1" w:styleId="Estilodireita-057cm">
    <w:name w:val="Estilo À direita:  -057 cm"/>
    <w:basedOn w:val="Normal"/>
    <w:autoRedefine/>
    <w:uiPriority w:val="99"/>
    <w:rsid w:val="00776762"/>
    <w:pPr>
      <w:spacing w:before="40" w:after="120"/>
      <w:ind w:right="-326"/>
      <w:jc w:val="both"/>
    </w:pPr>
    <w:rPr>
      <w:lang w:val="pt-BR"/>
    </w:rPr>
  </w:style>
  <w:style w:type="paragraph" w:styleId="Header">
    <w:name w:val="header"/>
    <w:basedOn w:val="Normal"/>
    <w:link w:val="HeaderChar"/>
    <w:uiPriority w:val="99"/>
    <w:rsid w:val="00F84AD6"/>
    <w:pPr>
      <w:tabs>
        <w:tab w:val="center" w:pos="4320"/>
        <w:tab w:val="right" w:pos="8640"/>
      </w:tabs>
    </w:pPr>
  </w:style>
  <w:style w:type="character" w:customStyle="1" w:styleId="HeaderChar">
    <w:name w:val="Header Char"/>
    <w:link w:val="Header"/>
    <w:uiPriority w:val="99"/>
    <w:locked/>
    <w:rsid w:val="00F84AD6"/>
    <w:rPr>
      <w:rFonts w:ascii="Arial" w:hAnsi="Arial" w:cs="Times New Roman"/>
      <w:sz w:val="22"/>
      <w:lang w:val="en-US" w:eastAsia="en-US"/>
    </w:rPr>
  </w:style>
  <w:style w:type="paragraph" w:styleId="TOC2">
    <w:name w:val="toc 2"/>
    <w:basedOn w:val="TOC1"/>
    <w:next w:val="Normal"/>
    <w:uiPriority w:val="99"/>
    <w:semiHidden/>
    <w:rsid w:val="00F84AD6"/>
    <w:pPr>
      <w:tabs>
        <w:tab w:val="left" w:pos="1350"/>
        <w:tab w:val="right" w:leader="dot" w:pos="8460"/>
        <w:tab w:val="right" w:pos="9360"/>
      </w:tabs>
      <w:ind w:left="547" w:right="1267"/>
    </w:pPr>
  </w:style>
  <w:style w:type="paragraph" w:customStyle="1" w:styleId="BlankPage">
    <w:name w:val="Blank Page"/>
    <w:basedOn w:val="Normal"/>
    <w:uiPriority w:val="99"/>
    <w:rsid w:val="00F84AD6"/>
    <w:pPr>
      <w:pageBreakBefore/>
      <w:spacing w:before="4320"/>
      <w:jc w:val="center"/>
    </w:pPr>
  </w:style>
  <w:style w:type="paragraph" w:customStyle="1" w:styleId="Body">
    <w:name w:val="Body"/>
    <w:basedOn w:val="Normal"/>
    <w:link w:val="BodyChar"/>
    <w:uiPriority w:val="99"/>
    <w:rsid w:val="00F84AD6"/>
    <w:pPr>
      <w:tabs>
        <w:tab w:val="num" w:pos="2520"/>
      </w:tabs>
      <w:spacing w:before="120" w:after="120"/>
      <w:ind w:left="2520" w:hanging="360"/>
    </w:pPr>
  </w:style>
  <w:style w:type="paragraph" w:customStyle="1" w:styleId="BodyNumbered">
    <w:name w:val="Body Numbered"/>
    <w:basedOn w:val="Normal"/>
    <w:link w:val="BodyNumberedChar"/>
    <w:uiPriority w:val="99"/>
    <w:rsid w:val="00F84AD6"/>
    <w:pPr>
      <w:tabs>
        <w:tab w:val="num" w:pos="360"/>
      </w:tabs>
      <w:spacing w:before="120" w:after="120"/>
      <w:ind w:left="360" w:hanging="360"/>
    </w:pPr>
  </w:style>
  <w:style w:type="paragraph" w:customStyle="1" w:styleId="Bullet">
    <w:name w:val="Bullet"/>
    <w:basedOn w:val="Normal"/>
    <w:link w:val="BulletChar"/>
    <w:uiPriority w:val="99"/>
    <w:rsid w:val="00F84AD6"/>
    <w:pPr>
      <w:numPr>
        <w:numId w:val="2"/>
      </w:numPr>
      <w:tabs>
        <w:tab w:val="num" w:pos="432"/>
        <w:tab w:val="left" w:pos="1080"/>
        <w:tab w:val="num" w:pos="2520"/>
      </w:tabs>
      <w:ind w:left="2520" w:hanging="432"/>
    </w:pPr>
  </w:style>
  <w:style w:type="paragraph" w:customStyle="1" w:styleId="ChapterTitle">
    <w:name w:val="Chapter Title"/>
    <w:uiPriority w:val="99"/>
    <w:rsid w:val="00F84AD6"/>
    <w:pPr>
      <w:spacing w:before="3200" w:after="360"/>
      <w:jc w:val="center"/>
    </w:pPr>
    <w:rPr>
      <w:rFonts w:ascii="Arial" w:hAnsi="Arial"/>
      <w:b/>
      <w:sz w:val="36"/>
      <w:szCs w:val="36"/>
      <w:lang w:val="en-US" w:eastAsia="en-US"/>
    </w:rPr>
  </w:style>
  <w:style w:type="paragraph" w:customStyle="1" w:styleId="References">
    <w:name w:val="References"/>
    <w:basedOn w:val="Normal"/>
    <w:uiPriority w:val="99"/>
    <w:rsid w:val="00F84AD6"/>
    <w:pPr>
      <w:spacing w:before="120" w:after="120"/>
      <w:ind w:left="346" w:hanging="346"/>
    </w:pPr>
    <w:rPr>
      <w:rFonts w:cs="Arial"/>
    </w:rPr>
  </w:style>
  <w:style w:type="paragraph" w:styleId="ListBullet">
    <w:name w:val="List Bullet"/>
    <w:basedOn w:val="Normal"/>
    <w:autoRedefine/>
    <w:uiPriority w:val="99"/>
    <w:rsid w:val="00F84AD6"/>
    <w:pPr>
      <w:tabs>
        <w:tab w:val="num" w:pos="720"/>
      </w:tabs>
      <w:ind w:left="360" w:hanging="360"/>
    </w:pPr>
    <w:rPr>
      <w:rFonts w:ascii="Times New Roman" w:hAnsi="Times New Roman"/>
      <w:sz w:val="24"/>
      <w:szCs w:val="24"/>
    </w:rPr>
  </w:style>
  <w:style w:type="paragraph" w:styleId="ListBullet2">
    <w:name w:val="List Bullet 2"/>
    <w:basedOn w:val="Normal"/>
    <w:autoRedefine/>
    <w:uiPriority w:val="99"/>
    <w:rsid w:val="00F84AD6"/>
    <w:pPr>
      <w:tabs>
        <w:tab w:val="num" w:pos="720"/>
      </w:tabs>
      <w:ind w:left="720" w:hanging="360"/>
    </w:pPr>
    <w:rPr>
      <w:rFonts w:ascii="Times New Roman" w:hAnsi="Times New Roman"/>
      <w:sz w:val="24"/>
      <w:szCs w:val="24"/>
    </w:rPr>
  </w:style>
  <w:style w:type="character" w:customStyle="1" w:styleId="BodyChar">
    <w:name w:val="Body Char"/>
    <w:link w:val="Body"/>
    <w:uiPriority w:val="99"/>
    <w:locked/>
    <w:rsid w:val="00F84AD6"/>
    <w:rPr>
      <w:rFonts w:ascii="Arial" w:hAnsi="Arial"/>
      <w:sz w:val="22"/>
      <w:lang w:val="en-US" w:eastAsia="en-US"/>
    </w:rPr>
  </w:style>
  <w:style w:type="character" w:customStyle="1" w:styleId="BodyNumberedChar">
    <w:name w:val="Body Numbered Char"/>
    <w:link w:val="BodyNumbered"/>
    <w:uiPriority w:val="99"/>
    <w:locked/>
    <w:rsid w:val="00F84AD6"/>
    <w:rPr>
      <w:rFonts w:ascii="Arial" w:hAnsi="Arial"/>
      <w:sz w:val="22"/>
      <w:lang w:val="en-US" w:eastAsia="en-US"/>
    </w:rPr>
  </w:style>
  <w:style w:type="character" w:customStyle="1" w:styleId="BulletChar">
    <w:name w:val="Bullet Char"/>
    <w:link w:val="Bullet"/>
    <w:uiPriority w:val="99"/>
    <w:locked/>
    <w:rsid w:val="00F84AD6"/>
    <w:rPr>
      <w:rFonts w:ascii="Arial" w:hAnsi="Arial"/>
      <w:sz w:val="22"/>
      <w:lang w:val="en-US" w:eastAsia="en-US"/>
    </w:rPr>
  </w:style>
  <w:style w:type="paragraph" w:styleId="TOC1">
    <w:name w:val="toc 1"/>
    <w:basedOn w:val="Normal"/>
    <w:next w:val="Normal"/>
    <w:autoRedefine/>
    <w:uiPriority w:val="99"/>
    <w:semiHidden/>
    <w:rsid w:val="00F84AD6"/>
  </w:style>
  <w:style w:type="paragraph" w:styleId="BalloonText">
    <w:name w:val="Balloon Text"/>
    <w:basedOn w:val="Normal"/>
    <w:link w:val="BalloonTextChar"/>
    <w:uiPriority w:val="99"/>
    <w:semiHidden/>
    <w:rsid w:val="00A21B1A"/>
    <w:rPr>
      <w:rFonts w:ascii="Times New Roman" w:hAnsi="Times New Roman"/>
    </w:rPr>
  </w:style>
  <w:style w:type="character" w:customStyle="1" w:styleId="BalloonTextChar">
    <w:name w:val="Balloon Text Char"/>
    <w:link w:val="BalloonText"/>
    <w:uiPriority w:val="99"/>
    <w:semiHidden/>
    <w:locked/>
    <w:rsid w:val="00A21B1A"/>
    <w:rPr>
      <w:sz w:val="22"/>
      <w:lang w:val="en-US" w:eastAsia="en-US"/>
    </w:rPr>
  </w:style>
  <w:style w:type="paragraph" w:styleId="Footer">
    <w:name w:val="footer"/>
    <w:basedOn w:val="Normal"/>
    <w:link w:val="FooterChar"/>
    <w:uiPriority w:val="99"/>
    <w:rsid w:val="00A474AF"/>
    <w:pPr>
      <w:tabs>
        <w:tab w:val="center" w:pos="4252"/>
        <w:tab w:val="right" w:pos="8504"/>
      </w:tabs>
    </w:pPr>
    <w:rPr>
      <w:sz w:val="20"/>
    </w:rPr>
  </w:style>
  <w:style w:type="character" w:customStyle="1" w:styleId="FooterChar">
    <w:name w:val="Footer Char"/>
    <w:link w:val="Footer"/>
    <w:uiPriority w:val="99"/>
    <w:semiHidden/>
    <w:locked/>
    <w:rPr>
      <w:rFonts w:ascii="Arial" w:hAnsi="Arial" w:cs="Times New Roman"/>
      <w:sz w:val="20"/>
      <w:szCs w:val="20"/>
      <w:lang w:val="en-US" w:eastAsia="en-US"/>
    </w:rPr>
  </w:style>
  <w:style w:type="character" w:styleId="CommentReference">
    <w:name w:val="annotation reference"/>
    <w:uiPriority w:val="99"/>
    <w:semiHidden/>
    <w:rsid w:val="00BE4E14"/>
    <w:rPr>
      <w:rFonts w:cs="Times New Roman"/>
      <w:sz w:val="16"/>
    </w:rPr>
  </w:style>
  <w:style w:type="paragraph" w:styleId="CommentText">
    <w:name w:val="annotation text"/>
    <w:basedOn w:val="Normal"/>
    <w:link w:val="CommentTextChar"/>
    <w:uiPriority w:val="99"/>
    <w:semiHidden/>
    <w:rsid w:val="00BE4E14"/>
    <w:rPr>
      <w:sz w:val="20"/>
    </w:rPr>
  </w:style>
  <w:style w:type="character" w:customStyle="1" w:styleId="CommentTextChar">
    <w:name w:val="Comment Text Char"/>
    <w:link w:val="CommentText"/>
    <w:uiPriority w:val="99"/>
    <w:semiHidden/>
    <w:locked/>
    <w:rPr>
      <w:rFonts w:ascii="Arial" w:hAnsi="Arial" w:cs="Times New Roman"/>
      <w:sz w:val="20"/>
      <w:szCs w:val="20"/>
      <w:lang w:val="en-US" w:eastAsia="en-US"/>
    </w:rPr>
  </w:style>
  <w:style w:type="paragraph" w:styleId="CommentSubject">
    <w:name w:val="annotation subject"/>
    <w:basedOn w:val="CommentText"/>
    <w:next w:val="CommentText"/>
    <w:link w:val="CommentSubjectChar"/>
    <w:uiPriority w:val="99"/>
    <w:semiHidden/>
    <w:rsid w:val="00BE4E14"/>
    <w:rPr>
      <w:b/>
      <w:bCs/>
    </w:rPr>
  </w:style>
  <w:style w:type="character" w:customStyle="1" w:styleId="CommentSubjectChar">
    <w:name w:val="Comment Subject Char"/>
    <w:link w:val="CommentSubject"/>
    <w:uiPriority w:val="99"/>
    <w:semiHidden/>
    <w:locked/>
    <w:rPr>
      <w:rFonts w:ascii="Arial" w:hAnsi="Arial" w:cs="Times New Roman"/>
      <w:b/>
      <w:bCs/>
      <w:sz w:val="20"/>
      <w:szCs w:val="20"/>
      <w:lang w:val="en-US" w:eastAsia="en-US"/>
    </w:rPr>
  </w:style>
  <w:style w:type="character" w:styleId="Strong">
    <w:name w:val="Strong"/>
    <w:qFormat/>
    <w:locked/>
    <w:rsid w:val="008A4A1D"/>
    <w:rPr>
      <w:b/>
      <w:bCs/>
    </w:rPr>
  </w:style>
  <w:style w:type="paragraph" w:styleId="ListParagraph">
    <w:name w:val="List Paragraph"/>
    <w:basedOn w:val="Normal"/>
    <w:link w:val="ListParagraphChar"/>
    <w:uiPriority w:val="34"/>
    <w:qFormat/>
    <w:rsid w:val="00A72997"/>
    <w:pPr>
      <w:spacing w:after="200" w:line="276" w:lineRule="auto"/>
      <w:ind w:left="720"/>
      <w:contextualSpacing/>
    </w:pPr>
    <w:rPr>
      <w:rFonts w:ascii="Calibri" w:eastAsia="Calibri" w:hAnsi="Calibri"/>
      <w:szCs w:val="22"/>
      <w:lang w:bidi="en-US"/>
    </w:rPr>
  </w:style>
  <w:style w:type="character" w:customStyle="1" w:styleId="ListParagraphChar">
    <w:name w:val="List Paragraph Char"/>
    <w:link w:val="ListParagraph"/>
    <w:uiPriority w:val="34"/>
    <w:rsid w:val="00A72997"/>
    <w:rPr>
      <w:rFonts w:ascii="Calibri" w:eastAsia="Calibri" w:hAnsi="Calibri"/>
      <w:sz w:val="22"/>
      <w:szCs w:val="22"/>
      <w:lang w:val="en-US" w:eastAsia="en-US" w:bidi="en-US"/>
    </w:rPr>
  </w:style>
  <w:style w:type="paragraph" w:customStyle="1" w:styleId="Default">
    <w:name w:val="Default"/>
    <w:rsid w:val="004B6BDF"/>
    <w:pPr>
      <w:autoSpaceDE w:val="0"/>
      <w:autoSpaceDN w:val="0"/>
      <w:adjustRightInd w:val="0"/>
    </w:pPr>
    <w:rPr>
      <w:rFonts w:ascii="Futura Std Book" w:hAnsi="Futura Std Book" w:cs="Futura Std Book"/>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938843">
      <w:bodyDiv w:val="1"/>
      <w:marLeft w:val="0"/>
      <w:marRight w:val="0"/>
      <w:marTop w:val="0"/>
      <w:marBottom w:val="0"/>
      <w:divBdr>
        <w:top w:val="none" w:sz="0" w:space="0" w:color="auto"/>
        <w:left w:val="none" w:sz="0" w:space="0" w:color="auto"/>
        <w:bottom w:val="none" w:sz="0" w:space="0" w:color="auto"/>
        <w:right w:val="none" w:sz="0" w:space="0" w:color="auto"/>
      </w:divBdr>
    </w:div>
    <w:div w:id="915478636">
      <w:bodyDiv w:val="1"/>
      <w:marLeft w:val="0"/>
      <w:marRight w:val="0"/>
      <w:marTop w:val="0"/>
      <w:marBottom w:val="0"/>
      <w:divBdr>
        <w:top w:val="none" w:sz="0" w:space="0" w:color="auto"/>
        <w:left w:val="none" w:sz="0" w:space="0" w:color="auto"/>
        <w:bottom w:val="none" w:sz="0" w:space="0" w:color="auto"/>
        <w:right w:val="none" w:sz="0" w:space="0" w:color="auto"/>
      </w:divBdr>
      <w:divsChild>
        <w:div w:id="833567340">
          <w:marLeft w:val="0"/>
          <w:marRight w:val="0"/>
          <w:marTop w:val="0"/>
          <w:marBottom w:val="0"/>
          <w:divBdr>
            <w:top w:val="none" w:sz="0" w:space="0" w:color="auto"/>
            <w:left w:val="none" w:sz="0" w:space="0" w:color="auto"/>
            <w:bottom w:val="none" w:sz="0" w:space="0" w:color="auto"/>
            <w:right w:val="none" w:sz="0" w:space="0" w:color="auto"/>
          </w:divBdr>
        </w:div>
        <w:div w:id="1235705437">
          <w:marLeft w:val="0"/>
          <w:marRight w:val="0"/>
          <w:marTop w:val="0"/>
          <w:marBottom w:val="0"/>
          <w:divBdr>
            <w:top w:val="none" w:sz="0" w:space="0" w:color="auto"/>
            <w:left w:val="none" w:sz="0" w:space="0" w:color="auto"/>
            <w:bottom w:val="none" w:sz="0" w:space="0" w:color="auto"/>
            <w:right w:val="none" w:sz="0" w:space="0" w:color="auto"/>
          </w:divBdr>
        </w:div>
        <w:div w:id="1520050695">
          <w:marLeft w:val="0"/>
          <w:marRight w:val="0"/>
          <w:marTop w:val="0"/>
          <w:marBottom w:val="0"/>
          <w:divBdr>
            <w:top w:val="none" w:sz="0" w:space="0" w:color="auto"/>
            <w:left w:val="none" w:sz="0" w:space="0" w:color="auto"/>
            <w:bottom w:val="none" w:sz="0" w:space="0" w:color="auto"/>
            <w:right w:val="none" w:sz="0" w:space="0" w:color="auto"/>
          </w:divBdr>
        </w:div>
        <w:div w:id="1750082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footer1.xml" Type="http://schemas.openxmlformats.org/officeDocument/2006/relationships/footer"/><Relationship Id="rId13" Target="footer2.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a941860-7cba-47d8-8c76-92fcbe358807">
      <Terms xmlns="http://schemas.microsoft.com/office/infopath/2007/PartnerControls"/>
    </lcf76f155ced4ddcb4097134ff3c332f>
    <_Flow_SignoffStatus xmlns="5a941860-7cba-47d8-8c76-92fcbe358807" xsi:nil="true"/>
    <TaxCatchAll xmlns="847926f1-1f4d-401e-9b26-3e5c2a77200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67AB0CD502FE24AA1139C8BA3C605EB" ma:contentTypeVersion="34" ma:contentTypeDescription="新しいドキュメントを作成します。" ma:contentTypeScope="" ma:versionID="088d5fc0b1ff9c2646bd4845618c5d9d">
  <xsd:schema xmlns:xsd="http://www.w3.org/2001/XMLSchema" xmlns:xs="http://www.w3.org/2001/XMLSchema" xmlns:p="http://schemas.microsoft.com/office/2006/metadata/properties" xmlns:ns1="http://schemas.microsoft.com/sharepoint/v3" xmlns:ns2="5a941860-7cba-47d8-8c76-92fcbe358807" xmlns:ns3="847926f1-1f4d-401e-9b26-3e5c2a772002" targetNamespace="http://schemas.microsoft.com/office/2006/metadata/properties" ma:root="true" ma:fieldsID="08ea649f1a4fed6958de47a01638a54b" ns1:_="" ns2:_="" ns3:_="">
    <xsd:import namespace="http://schemas.microsoft.com/sharepoint/v3"/>
    <xsd:import namespace="5a941860-7cba-47d8-8c76-92fcbe358807"/>
    <xsd:import namespace="847926f1-1f4d-401e-9b26-3e5c2a772002"/>
    <xsd:element name="properties">
      <xsd:complexType>
        <xsd:sequence>
          <xsd:element name="documentManagement">
            <xsd:complexType>
              <xsd:all>
                <xsd:element ref="ns1:_dlc_Exempt" minOccurs="0"/>
                <xsd:element ref="ns1:_dlc_ExpireDateSaved" minOccurs="0"/>
                <xsd:element ref="ns1:_dlc_ExpireDate" minOccurs="0"/>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_Flow_SignoffStatus" minOccurs="0"/>
                <xsd:element ref="ns3:SharedWithUsers" minOccurs="0"/>
                <xsd:element ref="ns3:SharedWithDetails" minOccurs="0"/>
                <xsd:element ref="ns3:TaxCatchAll"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ポリシー適用除外" ma:hidden="true" ma:internalName="_dlc_Exempt" ma:readOnly="true">
      <xsd:simpleType>
        <xsd:restriction base="dms:Unknown"/>
      </xsd:simpleType>
    </xsd:element>
    <xsd:element name="_dlc_ExpireDateSaved" ma:index="9" nillable="true" ma:displayName="元の有効期限" ma:hidden="true" ma:internalName="_dlc_ExpireDateSaved" ma:readOnly="true">
      <xsd:simpleType>
        <xsd:restriction base="dms:DateTime"/>
      </xsd:simpleType>
    </xsd:element>
    <xsd:element name="_dlc_ExpireDate" ma:index="10" nillable="true" ma:displayName="期日"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941860-7cba-47d8-8c76-92fcbe3588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lcf76f155ced4ddcb4097134ff3c332f" ma:index="30" nillable="true" ma:taxonomy="true" ma:internalName="lcf76f155ced4ddcb4097134ff3c332f" ma:taxonomyFieldName="MediaServiceImageTags" ma:displayName="画像タグ" ma:readOnly="false" ma:fieldId="{5cf76f15-5ced-4ddc-b409-7134ff3c332f}" ma:taxonomyMulti="true" ma:sspId="f12a13ef-d281-4d0d-b1ed-63df277d5a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7926f1-1f4d-401e-9b26-3e5c2a772002" elementFormDefault="qualified">
    <xsd:import namespace="http://schemas.microsoft.com/office/2006/documentManagement/types"/>
    <xsd:import namespace="http://schemas.microsoft.com/office/infopath/2007/PartnerControls"/>
    <xsd:element name="SharedWithUsers" ma:index="2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共有相手の詳細情報" ma:internalName="SharedWithDetails" ma:readOnly="true">
      <xsd:simpleType>
        <xsd:restriction base="dms:Note">
          <xsd:maxLength value="255"/>
        </xsd:restriction>
      </xsd:simpleType>
    </xsd:element>
    <xsd:element name="TaxCatchAll" ma:index="25" nillable="true" ma:displayName="Taxonomy Catch All Column" ma:hidden="true" ma:list="{9be9f1f9-83c9-4caf-aa16-4a4852119354}" ma:internalName="TaxCatchAll" ma:showField="CatchAllData" ma:web="847926f1-1f4d-401e-9b26-3e5c2a772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86ACA7C15B08304CAE7CEE9FF3F09770" ma:contentTypeVersion="0" ma:contentTypeDescription="Create a new document." ma:contentTypeScope="" ma:versionID="6d211cbe4ebc9cf650678beb2321c30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9BA69-CB0C-4426-AC27-7AF0E0625456}">
  <ds:schemaRefs>
    <ds:schemaRef ds:uri="http://schemas.microsoft.com/sharepoint/v3/contenttype/forms"/>
  </ds:schemaRefs>
</ds:datastoreItem>
</file>

<file path=customXml/itemProps2.xml><?xml version="1.0" encoding="utf-8"?>
<ds:datastoreItem xmlns:ds="http://schemas.openxmlformats.org/officeDocument/2006/customXml" ds:itemID="{567A1E6D-FD0B-4387-A9F2-6633CFB039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1912E7-EB8F-46DD-8851-C4DB8EF94A86}"/>
</file>

<file path=customXml/itemProps4.xml><?xml version="1.0" encoding="utf-8"?>
<ds:datastoreItem xmlns:ds="http://schemas.openxmlformats.org/officeDocument/2006/customXml" ds:itemID="{5E5CC18F-66F2-44E7-A63D-32CF57386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598D33F1-245E-4CAE-A9FF-D0397B228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2484</Words>
  <Characters>14937</Characters>
  <DocSecurity>0</DocSecurity>
  <Lines>124</Lines>
  <Paragraphs>34</Paragraphs>
  <ScaleCrop>false</ScaleCrop>
  <HeadingPairs>
    <vt:vector size="12" baseType="variant">
      <vt:variant>
        <vt:lpstr>Titel</vt:lpstr>
      </vt:variant>
      <vt:variant>
        <vt:i4>1</vt:i4>
      </vt:variant>
      <vt:variant>
        <vt:lpstr>Title</vt:lpstr>
      </vt:variant>
      <vt:variant>
        <vt:i4>1</vt:i4>
      </vt:variant>
      <vt:variant>
        <vt:lpstr>Headings</vt:lpstr>
      </vt:variant>
      <vt:variant>
        <vt:i4>6</vt:i4>
      </vt:variant>
      <vt:variant>
        <vt:lpstr>タイトル</vt:lpstr>
      </vt:variant>
      <vt:variant>
        <vt:i4>1</vt:i4>
      </vt:variant>
      <vt:variant>
        <vt:lpstr>Titre</vt:lpstr>
      </vt:variant>
      <vt:variant>
        <vt:i4>1</vt:i4>
      </vt:variant>
      <vt:variant>
        <vt:lpstr>Título</vt:lpstr>
      </vt:variant>
      <vt:variant>
        <vt:i4>1</vt:i4>
      </vt:variant>
    </vt:vector>
  </HeadingPairs>
  <TitlesOfParts>
    <vt:vector size="11" baseType="lpstr">
      <vt:lpstr>CHAPTER X</vt:lpstr>
      <vt:lpstr>CHAPTER X</vt:lpstr>
      <vt:lpstr>        AMP 101 	LOW -CYCLE FATIGUE MONITORING (Version 20XX18)</vt:lpstr>
      <vt:lpstr>        </vt:lpstr>
      <vt:lpstr>        Programme Description</vt:lpstr>
      <vt:lpstr>        Evaluation and Technical Basis</vt:lpstr>
      <vt:lpstr>        </vt:lpstr>
      <vt:lpstr>        References</vt:lpstr>
      <vt:lpstr>CHAPTER X</vt:lpstr>
      <vt:lpstr>CHAPTER X</vt:lpstr>
      <vt:lpstr>CHAPTER X</vt:lpstr>
    </vt:vector>
  </TitlesOfParts>
  <LinksUpToDate>false</LinksUpToDate>
  <CharactersWithSpaces>17387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0x010100E67AB0CD502FE24AA1139C8BA3C605EB</vt:lpwstr>
  </property>
  <property fmtid="{D5CDD505-2E9C-101B-9397-08002B2CF9AE}" pid="3" name="_NewReviewCycle">
    <vt:lpwstr/>
  </property>
  <property fmtid="{D5CDD505-2E9C-101B-9397-08002B2CF9AE}" pid="4" name="_dlc_policyId">
    <vt:lpwstr>/sites/fs1001/Shared Documents</vt:lpwstr>
  </property>
  <property fmtid="{D5CDD505-2E9C-101B-9397-08002B2CF9AE}" pid="5" name="ItemRetentionFormula">
    <vt:lpwstr/>
  </property>
  <property fmtid="{D5CDD505-2E9C-101B-9397-08002B2CF9AE}" pid="6" name="MediaServiceImageTags">
    <vt:lpwstr/>
  </property>
</Properties>
</file>